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17" w:rsidRDefault="00EE1F17" w:rsidP="00075F08">
      <w:pPr>
        <w:widowControl/>
        <w:tabs>
          <w:tab w:val="left" w:pos="1080"/>
        </w:tabs>
        <w:spacing w:after="0"/>
        <w:jc w:val="center"/>
        <w:rPr>
          <w:b/>
          <w:smallCaps/>
          <w:sz w:val="28"/>
          <w:szCs w:val="28"/>
        </w:rPr>
      </w:pPr>
      <w:bookmarkStart w:id="0" w:name="_GoBack"/>
      <w:bookmarkEnd w:id="0"/>
    </w:p>
    <w:p w:rsidR="00765603" w:rsidRDefault="000765E8" w:rsidP="00075F08">
      <w:pPr>
        <w:widowControl/>
        <w:tabs>
          <w:tab w:val="left" w:pos="1080"/>
        </w:tabs>
        <w:spacing w:after="0"/>
        <w:jc w:val="center"/>
      </w:pPr>
      <w:r w:rsidRPr="003F4AF6">
        <w:rPr>
          <w:b/>
          <w:smallCaps/>
          <w:sz w:val="28"/>
          <w:szCs w:val="28"/>
        </w:rPr>
        <w:t>Sterling Construction Company, Inc</w:t>
      </w:r>
      <w:r w:rsidR="00765603">
        <w:t>.</w:t>
      </w:r>
    </w:p>
    <w:p w:rsidR="00765603" w:rsidRPr="000765E8" w:rsidRDefault="00DF2FE8" w:rsidP="00075F08">
      <w:pPr>
        <w:widowControl/>
        <w:tabs>
          <w:tab w:val="left" w:pos="1080"/>
        </w:tabs>
        <w:spacing w:after="0"/>
        <w:jc w:val="center"/>
        <w:rPr>
          <w:sz w:val="22"/>
          <w:szCs w:val="22"/>
        </w:rPr>
      </w:pPr>
      <w:r>
        <w:rPr>
          <w:sz w:val="22"/>
          <w:szCs w:val="22"/>
        </w:rPr>
        <w:t xml:space="preserve">1800 Hughes Landing </w:t>
      </w:r>
      <w:r w:rsidRPr="00DF2FE8">
        <w:rPr>
          <w:sz w:val="22"/>
          <w:szCs w:val="22"/>
        </w:rPr>
        <w:t>Boulevard</w:t>
      </w:r>
    </w:p>
    <w:p w:rsidR="00765603" w:rsidRPr="000765E8" w:rsidRDefault="00495BFD" w:rsidP="00075F08">
      <w:pPr>
        <w:widowControl/>
        <w:tabs>
          <w:tab w:val="left" w:pos="1080"/>
        </w:tabs>
        <w:spacing w:after="0"/>
        <w:jc w:val="center"/>
        <w:rPr>
          <w:sz w:val="22"/>
          <w:szCs w:val="22"/>
        </w:rPr>
      </w:pPr>
      <w:r>
        <w:rPr>
          <w:sz w:val="22"/>
          <w:szCs w:val="22"/>
        </w:rPr>
        <w:t>The Woodlands</w:t>
      </w:r>
      <w:r w:rsidR="000765E8" w:rsidRPr="000765E8">
        <w:rPr>
          <w:sz w:val="22"/>
          <w:szCs w:val="22"/>
        </w:rPr>
        <w:t>, Texas 77</w:t>
      </w:r>
      <w:r>
        <w:rPr>
          <w:sz w:val="22"/>
          <w:szCs w:val="22"/>
        </w:rPr>
        <w:t>380</w:t>
      </w:r>
    </w:p>
    <w:p w:rsidR="00765603" w:rsidRPr="00DF2FE8" w:rsidRDefault="00765603" w:rsidP="00075F08">
      <w:pPr>
        <w:widowControl/>
        <w:tabs>
          <w:tab w:val="left" w:pos="1080"/>
        </w:tabs>
        <w:spacing w:after="240"/>
        <w:jc w:val="center"/>
        <w:rPr>
          <w:i/>
          <w:sz w:val="20"/>
        </w:rPr>
      </w:pPr>
      <w:r w:rsidRPr="00DF2FE8">
        <w:rPr>
          <w:i/>
          <w:sz w:val="20"/>
        </w:rPr>
        <w:t xml:space="preserve">Telephone: (281) </w:t>
      </w:r>
      <w:r w:rsidR="00495BFD" w:rsidRPr="00DF2FE8">
        <w:rPr>
          <w:i/>
          <w:sz w:val="20"/>
        </w:rPr>
        <w:t>214</w:t>
      </w:r>
      <w:r w:rsidRPr="00DF2FE8">
        <w:rPr>
          <w:i/>
          <w:sz w:val="20"/>
        </w:rPr>
        <w:t>-</w:t>
      </w:r>
      <w:r w:rsidR="00495BFD" w:rsidRPr="00DF2FE8">
        <w:rPr>
          <w:i/>
          <w:sz w:val="20"/>
        </w:rPr>
        <w:t>0800</w:t>
      </w:r>
    </w:p>
    <w:p w:rsidR="00765603" w:rsidRPr="000765E8" w:rsidRDefault="000765E8" w:rsidP="00075F08">
      <w:pPr>
        <w:widowControl/>
        <w:tabs>
          <w:tab w:val="left" w:pos="1080"/>
        </w:tabs>
        <w:jc w:val="center"/>
        <w:rPr>
          <w:b/>
          <w:smallCaps/>
        </w:rPr>
      </w:pPr>
      <w:r w:rsidRPr="000765E8">
        <w:rPr>
          <w:b/>
          <w:smallCaps/>
        </w:rPr>
        <w:t xml:space="preserve">Notice </w:t>
      </w:r>
      <w:r>
        <w:rPr>
          <w:b/>
          <w:smallCaps/>
        </w:rPr>
        <w:t xml:space="preserve">of the </w:t>
      </w:r>
      <w:r w:rsidRPr="000765E8">
        <w:rPr>
          <w:b/>
          <w:smallCaps/>
        </w:rPr>
        <w:t>201</w:t>
      </w:r>
      <w:r w:rsidR="00BF2378">
        <w:rPr>
          <w:b/>
          <w:smallCaps/>
        </w:rPr>
        <w:t>6</w:t>
      </w:r>
      <w:r w:rsidRPr="000765E8">
        <w:rPr>
          <w:b/>
          <w:smallCaps/>
        </w:rPr>
        <w:t xml:space="preserve"> Annual Meeting </w:t>
      </w:r>
      <w:r w:rsidR="00101BC2">
        <w:rPr>
          <w:b/>
          <w:smallCaps/>
        </w:rPr>
        <w:t>o</w:t>
      </w:r>
      <w:r w:rsidRPr="000765E8">
        <w:rPr>
          <w:b/>
          <w:smallCaps/>
        </w:rPr>
        <w:t>f Stockholders</w:t>
      </w:r>
    </w:p>
    <w:p w:rsidR="00765603" w:rsidRDefault="00765603" w:rsidP="00075F08">
      <w:pPr>
        <w:widowControl/>
        <w:tabs>
          <w:tab w:val="left" w:pos="1080"/>
        </w:tabs>
      </w:pPr>
      <w:r>
        <w:t>Notice is hereby given that the 201</w:t>
      </w:r>
      <w:r w:rsidR="00BF2378">
        <w:t>6</w:t>
      </w:r>
      <w:r>
        <w:t xml:space="preserve"> Annual Meeting of Stockholders of Sterling Construction Company, Inc., a Delaware corporation, will be held as follows:</w:t>
      </w:r>
    </w:p>
    <w:p w:rsidR="00765603" w:rsidRDefault="00765603" w:rsidP="001A7DFF">
      <w:pPr>
        <w:widowControl/>
        <w:tabs>
          <w:tab w:val="left" w:pos="1710"/>
        </w:tabs>
      </w:pPr>
      <w:r w:rsidRPr="000765E8">
        <w:rPr>
          <w:b/>
          <w:smallCaps/>
        </w:rPr>
        <w:t>Date</w:t>
      </w:r>
      <w:r>
        <w:t>:</w:t>
      </w:r>
      <w:r>
        <w:tab/>
      </w:r>
      <w:r w:rsidR="00363C58">
        <w:t xml:space="preserve">May </w:t>
      </w:r>
      <w:r w:rsidR="00BF2378">
        <w:t>6</w:t>
      </w:r>
      <w:r>
        <w:t>, 201</w:t>
      </w:r>
      <w:r w:rsidR="00BF2378">
        <w:t>6</w:t>
      </w:r>
    </w:p>
    <w:p w:rsidR="00363C58" w:rsidRDefault="00765603" w:rsidP="001A7DFF">
      <w:pPr>
        <w:widowControl/>
        <w:tabs>
          <w:tab w:val="left" w:pos="1710"/>
        </w:tabs>
        <w:spacing w:after="0"/>
      </w:pPr>
      <w:r w:rsidRPr="00903688">
        <w:rPr>
          <w:b/>
          <w:smallCaps/>
        </w:rPr>
        <w:t>Place</w:t>
      </w:r>
      <w:r w:rsidRPr="00903688">
        <w:t>:</w:t>
      </w:r>
      <w:r w:rsidRPr="00903688">
        <w:tab/>
      </w:r>
      <w:r w:rsidR="00AB27EA" w:rsidRPr="00903688">
        <w:t xml:space="preserve">1800 Hughes Landing Boulevard </w:t>
      </w:r>
      <w:r w:rsidR="00AB27EA">
        <w:t xml:space="preserve">— </w:t>
      </w:r>
      <w:r w:rsidR="003F4AF6">
        <w:t>Suite 250</w:t>
      </w:r>
    </w:p>
    <w:p w:rsidR="00765603" w:rsidRDefault="00765603" w:rsidP="001A7DFF">
      <w:pPr>
        <w:widowControl/>
        <w:tabs>
          <w:tab w:val="left" w:pos="1710"/>
        </w:tabs>
      </w:pPr>
      <w:r>
        <w:tab/>
      </w:r>
      <w:r w:rsidR="00AB27EA">
        <w:t>The Woodlands, Texas 77380</w:t>
      </w:r>
    </w:p>
    <w:p w:rsidR="00765603" w:rsidRDefault="00765603" w:rsidP="001A7DFF">
      <w:pPr>
        <w:widowControl/>
        <w:tabs>
          <w:tab w:val="left" w:pos="1710"/>
        </w:tabs>
      </w:pPr>
      <w:r w:rsidRPr="000765E8">
        <w:rPr>
          <w:b/>
          <w:smallCaps/>
        </w:rPr>
        <w:t>Time</w:t>
      </w:r>
      <w:r>
        <w:t>:</w:t>
      </w:r>
      <w:r>
        <w:tab/>
      </w:r>
      <w:r w:rsidR="00DE6EE2">
        <w:t>8:30</w:t>
      </w:r>
      <w:r>
        <w:t xml:space="preserve"> a.m. local time</w:t>
      </w:r>
    </w:p>
    <w:p w:rsidR="00912218" w:rsidRDefault="00765603" w:rsidP="00E81F20">
      <w:pPr>
        <w:widowControl/>
        <w:tabs>
          <w:tab w:val="left" w:pos="1710"/>
          <w:tab w:val="left" w:pos="1980"/>
          <w:tab w:val="left" w:pos="2520"/>
        </w:tabs>
        <w:ind w:left="1980" w:hanging="1980"/>
        <w:jc w:val="left"/>
      </w:pPr>
      <w:r w:rsidRPr="000765E8">
        <w:rPr>
          <w:b/>
          <w:smallCaps/>
        </w:rPr>
        <w:t>Purposes</w:t>
      </w:r>
      <w:r>
        <w:t>:</w:t>
      </w:r>
      <w:r>
        <w:tab/>
        <w:t>1.</w:t>
      </w:r>
      <w:r>
        <w:tab/>
        <w:t xml:space="preserve">To elect </w:t>
      </w:r>
      <w:r w:rsidR="00BF2378">
        <w:t xml:space="preserve">five </w:t>
      </w:r>
      <w:r>
        <w:t>Board nominees</w:t>
      </w:r>
      <w:r w:rsidR="00EE1F17">
        <w:t>,</w:t>
      </w:r>
      <w:r>
        <w:t xml:space="preserve"> </w:t>
      </w:r>
      <w:r w:rsidR="008D5F13">
        <w:t xml:space="preserve">each </w:t>
      </w:r>
      <w:r w:rsidR="00912218">
        <w:t xml:space="preserve">to serve for a term of </w:t>
      </w:r>
      <w:r w:rsidR="00495BFD">
        <w:t>one year</w:t>
      </w:r>
      <w:r w:rsidR="008D5F13">
        <w:t xml:space="preserve"> and until their successors are duly elected and qualified</w:t>
      </w:r>
      <w:r w:rsidR="00912218">
        <w:t xml:space="preserve">. </w:t>
      </w:r>
      <w:r w:rsidR="008D5F13">
        <w:t xml:space="preserve"> </w:t>
      </w:r>
    </w:p>
    <w:p w:rsidR="00765603" w:rsidRDefault="00E81F20" w:rsidP="00E81F20">
      <w:pPr>
        <w:widowControl/>
        <w:tabs>
          <w:tab w:val="left" w:pos="1710"/>
          <w:tab w:val="left" w:pos="1980"/>
          <w:tab w:val="left" w:pos="2520"/>
        </w:tabs>
        <w:ind w:left="1980" w:hanging="1980"/>
        <w:jc w:val="left"/>
      </w:pPr>
      <w:r>
        <w:tab/>
      </w:r>
      <w:r w:rsidR="001D04EC">
        <w:t>2</w:t>
      </w:r>
      <w:r>
        <w:t>.</w:t>
      </w:r>
      <w:r>
        <w:tab/>
      </w:r>
      <w:r w:rsidR="00765603">
        <w:t>To ratify the selection of Grant Thornton LLP as the Company's independent registered public accounting firm for 201</w:t>
      </w:r>
      <w:r w:rsidR="00BF2378">
        <w:t>6</w:t>
      </w:r>
      <w:r w:rsidR="00765603">
        <w:t>.</w:t>
      </w:r>
    </w:p>
    <w:p w:rsidR="00765603" w:rsidRDefault="001A7DFF" w:rsidP="00E81F20">
      <w:pPr>
        <w:widowControl/>
        <w:tabs>
          <w:tab w:val="left" w:pos="1710"/>
          <w:tab w:val="left" w:pos="1980"/>
          <w:tab w:val="left" w:pos="2520"/>
        </w:tabs>
        <w:ind w:left="1980" w:hanging="1980"/>
        <w:jc w:val="left"/>
      </w:pPr>
      <w:r>
        <w:tab/>
      </w:r>
      <w:r w:rsidR="001D04EC">
        <w:t>3</w:t>
      </w:r>
      <w:r w:rsidR="00765603">
        <w:t>.</w:t>
      </w:r>
      <w:r w:rsidR="00765603">
        <w:tab/>
      </w:r>
      <w:r w:rsidR="007A16A5">
        <w:t>An a</w:t>
      </w:r>
      <w:r w:rsidR="007A16A5" w:rsidRPr="007A16A5">
        <w:t>dvisory vote to approve named executive officer compensation</w:t>
      </w:r>
      <w:r w:rsidR="007A16A5">
        <w:t>.</w:t>
      </w:r>
    </w:p>
    <w:p w:rsidR="00765603" w:rsidRDefault="001A7DFF" w:rsidP="00E81F20">
      <w:pPr>
        <w:widowControl/>
        <w:tabs>
          <w:tab w:val="left" w:pos="1710"/>
          <w:tab w:val="left" w:pos="1980"/>
          <w:tab w:val="left" w:pos="2520"/>
        </w:tabs>
        <w:ind w:left="1980" w:hanging="1980"/>
        <w:jc w:val="left"/>
      </w:pPr>
      <w:r>
        <w:tab/>
      </w:r>
      <w:r w:rsidR="001D04EC">
        <w:t>4</w:t>
      </w:r>
      <w:r w:rsidR="00765603">
        <w:t>.</w:t>
      </w:r>
      <w:r w:rsidR="00765603">
        <w:tab/>
        <w:t>To transact any other business that properly comes before the meeting.</w:t>
      </w:r>
    </w:p>
    <w:p w:rsidR="00765603" w:rsidRDefault="001A7DFF" w:rsidP="00D66FA0">
      <w:pPr>
        <w:widowControl/>
        <w:tabs>
          <w:tab w:val="left" w:pos="1710"/>
          <w:tab w:val="left" w:pos="2520"/>
        </w:tabs>
        <w:spacing w:after="0"/>
        <w:ind w:left="1714" w:hanging="1714"/>
      </w:pPr>
      <w:r w:rsidRPr="001A7DFF">
        <w:rPr>
          <w:b/>
          <w:smallCaps/>
        </w:rPr>
        <w:t>Record Date</w:t>
      </w:r>
      <w:r>
        <w:t>:</w:t>
      </w:r>
      <w:r>
        <w:tab/>
      </w:r>
      <w:r w:rsidR="00765603">
        <w:t xml:space="preserve">Only the stockholders of record at the close of business on </w:t>
      </w:r>
      <w:r w:rsidR="00765603" w:rsidRPr="00A74D58">
        <w:t>March</w:t>
      </w:r>
      <w:r w:rsidR="00912218" w:rsidRPr="00A74D58">
        <w:t xml:space="preserve"> </w:t>
      </w:r>
      <w:r w:rsidR="00BF2378">
        <w:t>8</w:t>
      </w:r>
      <w:r w:rsidR="00765603" w:rsidRPr="00A74D58">
        <w:t>,</w:t>
      </w:r>
      <w:r w:rsidR="00765603">
        <w:t xml:space="preserve"> 201</w:t>
      </w:r>
      <w:r w:rsidR="00BF2378">
        <w:t>6</w:t>
      </w:r>
      <w:r w:rsidR="00765603">
        <w:t xml:space="preserve"> are entitled to notice of the meeting and to vote at the meeting</w:t>
      </w:r>
      <w:r w:rsidR="00A728DD">
        <w:t>,</w:t>
      </w:r>
      <w:r w:rsidR="00765603">
        <w:t xml:space="preserve"> or </w:t>
      </w:r>
      <w:r w:rsidR="00A728DD">
        <w:t xml:space="preserve">at </w:t>
      </w:r>
      <w:r w:rsidR="00765603">
        <w:t>any adjournment of it.</w:t>
      </w:r>
    </w:p>
    <w:p w:rsidR="00765603" w:rsidRDefault="00765603" w:rsidP="00075F08">
      <w:pPr>
        <w:widowControl/>
        <w:tabs>
          <w:tab w:val="right" w:pos="8640"/>
        </w:tabs>
        <w:spacing w:after="0"/>
      </w:pPr>
      <w:r>
        <w:tab/>
        <w:t>By Order of the Board of Directors</w:t>
      </w:r>
    </w:p>
    <w:p w:rsidR="00765603" w:rsidRDefault="00CA4FF8" w:rsidP="00CC019F">
      <w:pPr>
        <w:widowControl/>
        <w:tabs>
          <w:tab w:val="right" w:pos="8640"/>
        </w:tabs>
        <w:spacing w:after="240"/>
      </w:pPr>
      <w:r w:rsidRPr="00637869">
        <w:t xml:space="preserve">March </w:t>
      </w:r>
      <w:r w:rsidR="009745B5">
        <w:t>24</w:t>
      </w:r>
      <w:r w:rsidR="00765603" w:rsidRPr="00263CAA">
        <w:t>, 201</w:t>
      </w:r>
      <w:r w:rsidR="00BF2378">
        <w:t>6</w:t>
      </w:r>
      <w:r w:rsidR="00765603">
        <w:tab/>
        <w:t xml:space="preserve">Roger M. Barzun, </w:t>
      </w:r>
      <w:r w:rsidR="00765603" w:rsidRPr="00765603">
        <w:rPr>
          <w:i/>
        </w:rPr>
        <w:t>Secretary</w:t>
      </w:r>
    </w:p>
    <w:p w:rsidR="005214A5" w:rsidRDefault="003C461D" w:rsidP="00E81F20">
      <w:pPr>
        <w:widowControl/>
        <w:tabs>
          <w:tab w:val="left" w:pos="1080"/>
        </w:tabs>
        <w:spacing w:after="40"/>
        <w:jc w:val="center"/>
        <w:rPr>
          <w:b/>
          <w:smallCaps/>
          <w:sz w:val="22"/>
          <w:szCs w:val="22"/>
        </w:rPr>
      </w:pPr>
      <w:r w:rsidRPr="001A716E">
        <w:rPr>
          <w:b/>
          <w:smallCaps/>
          <w:sz w:val="22"/>
          <w:szCs w:val="22"/>
        </w:rPr>
        <w:t>Important notice regarding the availability of proxy materials for the</w:t>
      </w:r>
    </w:p>
    <w:p w:rsidR="003C461D" w:rsidRPr="001A716E" w:rsidRDefault="005214A5" w:rsidP="00E81F20">
      <w:pPr>
        <w:widowControl/>
        <w:tabs>
          <w:tab w:val="left" w:pos="1080"/>
        </w:tabs>
        <w:spacing w:after="40"/>
        <w:jc w:val="center"/>
        <w:rPr>
          <w:smallCaps/>
          <w:sz w:val="22"/>
          <w:szCs w:val="22"/>
        </w:rPr>
      </w:pPr>
      <w:r>
        <w:rPr>
          <w:b/>
          <w:smallCaps/>
          <w:sz w:val="22"/>
          <w:szCs w:val="22"/>
        </w:rPr>
        <w:t xml:space="preserve">2016 </w:t>
      </w:r>
      <w:r w:rsidR="003C461D" w:rsidRPr="001A716E">
        <w:rPr>
          <w:b/>
          <w:smallCaps/>
          <w:sz w:val="22"/>
          <w:szCs w:val="22"/>
        </w:rPr>
        <w:t>Annual Meeting of Stockholders</w:t>
      </w:r>
    </w:p>
    <w:p w:rsidR="003C461D" w:rsidRDefault="003C461D" w:rsidP="00CC019F">
      <w:pPr>
        <w:widowControl/>
        <w:tabs>
          <w:tab w:val="left" w:pos="1080"/>
        </w:tabs>
        <w:jc w:val="left"/>
        <w:rPr>
          <w:sz w:val="22"/>
          <w:szCs w:val="22"/>
        </w:rPr>
      </w:pPr>
      <w:r>
        <w:rPr>
          <w:sz w:val="22"/>
          <w:szCs w:val="22"/>
        </w:rPr>
        <w:t>T</w:t>
      </w:r>
      <w:r w:rsidRPr="008A661A">
        <w:rPr>
          <w:sz w:val="22"/>
          <w:szCs w:val="22"/>
        </w:rPr>
        <w:t xml:space="preserve">he proxy statement, the form of proxy and the Annual Report </w:t>
      </w:r>
      <w:r>
        <w:rPr>
          <w:sz w:val="22"/>
          <w:szCs w:val="22"/>
        </w:rPr>
        <w:t>t</w:t>
      </w:r>
      <w:r w:rsidRPr="008A661A">
        <w:rPr>
          <w:sz w:val="22"/>
          <w:szCs w:val="22"/>
        </w:rPr>
        <w:t>o Stockholders for the year ended December 31, 201</w:t>
      </w:r>
      <w:r w:rsidR="004970C2">
        <w:rPr>
          <w:sz w:val="22"/>
          <w:szCs w:val="22"/>
        </w:rPr>
        <w:t>5</w:t>
      </w:r>
      <w:r w:rsidRPr="008A661A">
        <w:rPr>
          <w:sz w:val="22"/>
          <w:szCs w:val="22"/>
        </w:rPr>
        <w:t xml:space="preserve"> are available at the </w:t>
      </w:r>
      <w:r>
        <w:rPr>
          <w:sz w:val="22"/>
          <w:szCs w:val="22"/>
        </w:rPr>
        <w:t>C</w:t>
      </w:r>
      <w:r w:rsidRPr="008A661A">
        <w:rPr>
          <w:sz w:val="22"/>
          <w:szCs w:val="22"/>
        </w:rPr>
        <w:t xml:space="preserve">ompany's </w:t>
      </w:r>
      <w:r>
        <w:rPr>
          <w:sz w:val="22"/>
          <w:szCs w:val="22"/>
        </w:rPr>
        <w:t>I</w:t>
      </w:r>
      <w:r w:rsidRPr="008A661A">
        <w:rPr>
          <w:sz w:val="22"/>
          <w:szCs w:val="22"/>
        </w:rPr>
        <w:t>nternet website</w:t>
      </w:r>
      <w:r>
        <w:rPr>
          <w:sz w:val="22"/>
          <w:szCs w:val="22"/>
        </w:rPr>
        <w:t>,</w:t>
      </w:r>
      <w:r w:rsidRPr="008A661A">
        <w:rPr>
          <w:sz w:val="22"/>
          <w:szCs w:val="22"/>
        </w:rPr>
        <w:t xml:space="preserve"> </w:t>
      </w:r>
      <w:hyperlink r:id="rId9" w:history="1">
        <w:r w:rsidR="00A909FB" w:rsidRPr="00337E95">
          <w:rPr>
            <w:rStyle w:val="Hyperlink"/>
            <w:sz w:val="22"/>
            <w:szCs w:val="22"/>
          </w:rPr>
          <w:t>www.STRLco.com</w:t>
        </w:r>
      </w:hyperlink>
      <w:r>
        <w:rPr>
          <w:rStyle w:val="Hyperlink"/>
          <w:sz w:val="22"/>
          <w:szCs w:val="22"/>
        </w:rPr>
        <w:t>,</w:t>
      </w:r>
      <w:r w:rsidRPr="008A661A">
        <w:rPr>
          <w:sz w:val="22"/>
          <w:szCs w:val="22"/>
        </w:rPr>
        <w:t xml:space="preserve"> on the "Investor Relations" page</w:t>
      </w:r>
      <w:r>
        <w:rPr>
          <w:sz w:val="22"/>
          <w:szCs w:val="22"/>
        </w:rPr>
        <w:t xml:space="preserve"> under the headings </w:t>
      </w:r>
      <w:r w:rsidRPr="00D66FA0">
        <w:rPr>
          <w:i/>
          <w:sz w:val="22"/>
          <w:szCs w:val="22"/>
        </w:rPr>
        <w:t>Proxy Statement</w:t>
      </w:r>
      <w:r w:rsidR="00CC019F">
        <w:rPr>
          <w:i/>
          <w:sz w:val="22"/>
          <w:szCs w:val="22"/>
        </w:rPr>
        <w:t>s</w:t>
      </w:r>
      <w:r>
        <w:rPr>
          <w:sz w:val="22"/>
          <w:szCs w:val="22"/>
        </w:rPr>
        <w:t xml:space="preserve"> and </w:t>
      </w:r>
      <w:r w:rsidRPr="00D66FA0">
        <w:rPr>
          <w:i/>
          <w:sz w:val="22"/>
          <w:szCs w:val="22"/>
        </w:rPr>
        <w:t>Annual Reports</w:t>
      </w:r>
      <w:r w:rsidRPr="008A661A">
        <w:rPr>
          <w:sz w:val="22"/>
          <w:szCs w:val="22"/>
        </w:rPr>
        <w:t>.</w:t>
      </w:r>
    </w:p>
    <w:p w:rsidR="008A661A" w:rsidRPr="00126B8E" w:rsidRDefault="003C461D" w:rsidP="00E968B0">
      <w:pPr>
        <w:widowControl/>
        <w:spacing w:after="200"/>
        <w:ind w:left="360" w:right="360"/>
        <w:rPr>
          <w:sz w:val="22"/>
          <w:szCs w:val="22"/>
        </w:rPr>
      </w:pPr>
      <w:r>
        <w:rPr>
          <w:sz w:val="22"/>
          <w:szCs w:val="22"/>
        </w:rPr>
        <w:t>As indicated above, w</w:t>
      </w:r>
      <w:r w:rsidR="008A661A" w:rsidRPr="00126B8E">
        <w:rPr>
          <w:sz w:val="22"/>
          <w:szCs w:val="22"/>
        </w:rPr>
        <w:t xml:space="preserve">e are again using the </w:t>
      </w:r>
      <w:r w:rsidR="00DE6EE2" w:rsidRPr="00126B8E">
        <w:rPr>
          <w:sz w:val="22"/>
          <w:szCs w:val="22"/>
        </w:rPr>
        <w:t>"</w:t>
      </w:r>
      <w:r w:rsidR="008A661A" w:rsidRPr="00126B8E">
        <w:rPr>
          <w:sz w:val="22"/>
          <w:szCs w:val="22"/>
        </w:rPr>
        <w:t>Notice and Access</w:t>
      </w:r>
      <w:r w:rsidR="00DE6EE2" w:rsidRPr="00126B8E">
        <w:rPr>
          <w:sz w:val="22"/>
          <w:szCs w:val="22"/>
        </w:rPr>
        <w:t>"</w:t>
      </w:r>
      <w:r w:rsidR="008A661A" w:rsidRPr="00126B8E">
        <w:rPr>
          <w:sz w:val="22"/>
          <w:szCs w:val="22"/>
        </w:rPr>
        <w:t xml:space="preserve"> method of delivery of proxy materials to save costs and </w:t>
      </w:r>
      <w:r w:rsidR="00126B8E">
        <w:rPr>
          <w:sz w:val="22"/>
          <w:szCs w:val="22"/>
        </w:rPr>
        <w:t xml:space="preserve">to </w:t>
      </w:r>
      <w:r w:rsidR="008A661A" w:rsidRPr="00126B8E">
        <w:rPr>
          <w:sz w:val="22"/>
          <w:szCs w:val="22"/>
        </w:rPr>
        <w:t>avoid wast</w:t>
      </w:r>
      <w:r w:rsidR="00DE6EE2" w:rsidRPr="00126B8E">
        <w:rPr>
          <w:sz w:val="22"/>
          <w:szCs w:val="22"/>
        </w:rPr>
        <w:t>ing</w:t>
      </w:r>
      <w:r w:rsidR="008A661A" w:rsidRPr="00126B8E">
        <w:rPr>
          <w:sz w:val="22"/>
          <w:szCs w:val="22"/>
        </w:rPr>
        <w:t xml:space="preserve"> paper.  Most </w:t>
      </w:r>
      <w:r w:rsidR="004A6D64">
        <w:rPr>
          <w:sz w:val="22"/>
          <w:szCs w:val="22"/>
        </w:rPr>
        <w:t>stockholder</w:t>
      </w:r>
      <w:r w:rsidR="00AE5535">
        <w:rPr>
          <w:sz w:val="22"/>
          <w:szCs w:val="22"/>
        </w:rPr>
        <w:t xml:space="preserve">s </w:t>
      </w:r>
      <w:r w:rsidR="008A661A" w:rsidRPr="00126B8E">
        <w:rPr>
          <w:sz w:val="22"/>
          <w:szCs w:val="22"/>
        </w:rPr>
        <w:t xml:space="preserve">will receive </w:t>
      </w:r>
      <w:r>
        <w:rPr>
          <w:sz w:val="22"/>
          <w:szCs w:val="22"/>
        </w:rPr>
        <w:t>the</w:t>
      </w:r>
      <w:r w:rsidR="008A661A" w:rsidRPr="00126B8E">
        <w:rPr>
          <w:sz w:val="22"/>
          <w:szCs w:val="22"/>
        </w:rPr>
        <w:t xml:space="preserve"> Notice Regarding the Availability of Proxy Materials, which provides </w:t>
      </w:r>
      <w:r>
        <w:rPr>
          <w:sz w:val="22"/>
          <w:szCs w:val="22"/>
        </w:rPr>
        <w:t>the</w:t>
      </w:r>
      <w:r w:rsidR="008A661A" w:rsidRPr="00126B8E">
        <w:rPr>
          <w:sz w:val="22"/>
          <w:szCs w:val="22"/>
        </w:rPr>
        <w:t xml:space="preserve"> Internet website address </w:t>
      </w:r>
      <w:r>
        <w:rPr>
          <w:sz w:val="22"/>
          <w:szCs w:val="22"/>
        </w:rPr>
        <w:t xml:space="preserve">of our transfer agent </w:t>
      </w:r>
      <w:r w:rsidR="008A661A" w:rsidRPr="00126B8E">
        <w:rPr>
          <w:sz w:val="22"/>
          <w:szCs w:val="22"/>
        </w:rPr>
        <w:t xml:space="preserve">where </w:t>
      </w:r>
      <w:r w:rsidR="004A6D64">
        <w:rPr>
          <w:sz w:val="22"/>
          <w:szCs w:val="22"/>
        </w:rPr>
        <w:t>stockholder</w:t>
      </w:r>
      <w:r w:rsidR="008A661A" w:rsidRPr="00126B8E">
        <w:rPr>
          <w:sz w:val="22"/>
          <w:szCs w:val="22"/>
        </w:rPr>
        <w:t xml:space="preserve">s can </w:t>
      </w:r>
      <w:r>
        <w:rPr>
          <w:sz w:val="22"/>
          <w:szCs w:val="22"/>
        </w:rPr>
        <w:t xml:space="preserve">both </w:t>
      </w:r>
      <w:r w:rsidR="008A661A" w:rsidRPr="00126B8E">
        <w:rPr>
          <w:sz w:val="22"/>
          <w:szCs w:val="22"/>
        </w:rPr>
        <w:t xml:space="preserve">access electronic copies of the proxy materials and vote. This website also has instructions for voting by </w:t>
      </w:r>
      <w:r w:rsidR="005214A5">
        <w:rPr>
          <w:sz w:val="22"/>
          <w:szCs w:val="22"/>
        </w:rPr>
        <w:t>tele</w:t>
      </w:r>
      <w:r w:rsidR="008A661A" w:rsidRPr="00126B8E">
        <w:rPr>
          <w:sz w:val="22"/>
          <w:szCs w:val="22"/>
        </w:rPr>
        <w:t xml:space="preserve">phone and for requesting paper copies of the proxy materials and </w:t>
      </w:r>
      <w:r w:rsidR="00D04549">
        <w:rPr>
          <w:sz w:val="22"/>
          <w:szCs w:val="22"/>
        </w:rPr>
        <w:t xml:space="preserve">a </w:t>
      </w:r>
      <w:r w:rsidR="008A661A" w:rsidRPr="00126B8E">
        <w:rPr>
          <w:sz w:val="22"/>
          <w:szCs w:val="22"/>
        </w:rPr>
        <w:t>proxy card.</w:t>
      </w:r>
    </w:p>
    <w:p w:rsidR="008A661A" w:rsidRDefault="00900187" w:rsidP="008A7C98">
      <w:pPr>
        <w:pBdr>
          <w:top w:val="double" w:sz="4" w:space="5" w:color="auto"/>
          <w:left w:val="double" w:sz="4" w:space="5" w:color="auto"/>
          <w:bottom w:val="double" w:sz="4" w:space="5" w:color="auto"/>
          <w:right w:val="double" w:sz="4" w:space="5" w:color="auto"/>
        </w:pBdr>
        <w:jc w:val="center"/>
      </w:pPr>
      <w:r>
        <w:rPr>
          <w:b/>
          <w:smallCaps/>
        </w:rPr>
        <w:t>s</w:t>
      </w:r>
      <w:r w:rsidR="008A661A">
        <w:rPr>
          <w:b/>
          <w:smallCaps/>
        </w:rPr>
        <w:t>ummary of how you can vote</w:t>
      </w:r>
      <w:r>
        <w:rPr>
          <w:b/>
          <w:smallCaps/>
        </w:rPr>
        <w:t xml:space="preserve"> your shares</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Via the Internet</w:t>
      </w:r>
      <w:r w:rsidRPr="00953D11">
        <w:t>:</w:t>
      </w:r>
      <w:r>
        <w:tab/>
        <w:t xml:space="preserve">You may vote via the Internet by following the instructions </w:t>
      </w:r>
      <w:r w:rsidR="00601290">
        <w:t xml:space="preserve">in the Availability Notice or </w:t>
      </w:r>
      <w:r>
        <w:t>on your proxy card (if you receive one).</w:t>
      </w:r>
    </w:p>
    <w:p w:rsidR="00A760E5" w:rsidRPr="00953D11" w:rsidRDefault="008A661A" w:rsidP="00A760E5">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By Telephone</w:t>
      </w:r>
      <w:r w:rsidRPr="00953D11">
        <w:t>:</w:t>
      </w:r>
      <w:r>
        <w:tab/>
      </w:r>
      <w:r w:rsidR="00A760E5">
        <w:t xml:space="preserve">Visit </w:t>
      </w:r>
      <w:hyperlink r:id="rId10" w:history="1">
        <w:r w:rsidR="00A760E5" w:rsidRPr="009B771C">
          <w:rPr>
            <w:rStyle w:val="Hyperlink"/>
          </w:rPr>
          <w:t>www.voteproxy.com</w:t>
        </w:r>
      </w:hyperlink>
      <w:r w:rsidR="00A760E5">
        <w:t xml:space="preserve"> to obtain the toll-free number to call.</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sidRPr="00953D11">
        <w:rPr>
          <w:b/>
        </w:rPr>
        <w:t>By Mail</w:t>
      </w:r>
      <w:r>
        <w:t>:</w:t>
      </w:r>
      <w:r>
        <w:tab/>
        <w:t>If you request a paper copy of the proxy materials, you may vote by completing, signing, and dating the proxy card</w:t>
      </w:r>
      <w:r w:rsidR="00244D9A">
        <w:t>,</w:t>
      </w:r>
      <w:r>
        <w:t xml:space="preserve"> and mailing it to the Company in the envelope that </w:t>
      </w:r>
      <w:r w:rsidR="00A03EB9">
        <w:t>i</w:t>
      </w:r>
      <w:r>
        <w:t>s provided to you.</w:t>
      </w:r>
    </w:p>
    <w:p w:rsidR="008A661A" w:rsidRDefault="008A661A" w:rsidP="008A7C98">
      <w:pPr>
        <w:pBdr>
          <w:top w:val="double" w:sz="4" w:space="5" w:color="auto"/>
          <w:left w:val="double" w:sz="4" w:space="5" w:color="auto"/>
          <w:bottom w:val="double" w:sz="4" w:space="5" w:color="auto"/>
          <w:right w:val="double" w:sz="4" w:space="5" w:color="auto"/>
        </w:pBdr>
        <w:tabs>
          <w:tab w:val="left" w:pos="1800"/>
        </w:tabs>
        <w:ind w:left="1800" w:hanging="1800"/>
        <w:jc w:val="left"/>
      </w:pPr>
      <w:r>
        <w:rPr>
          <w:b/>
        </w:rPr>
        <w:t>In person</w:t>
      </w:r>
      <w:r w:rsidRPr="00953D11">
        <w:t>:</w:t>
      </w:r>
      <w:r>
        <w:tab/>
        <w:t xml:space="preserve">You may attend the </w:t>
      </w:r>
      <w:r w:rsidR="000264B3">
        <w:t xml:space="preserve">Annual Meeting of Stockholders </w:t>
      </w:r>
      <w:r>
        <w:t>and cast your vote on each item as it is presented.</w:t>
      </w:r>
    </w:p>
    <w:p w:rsidR="001474CC" w:rsidRDefault="001474CC" w:rsidP="001474CC">
      <w:pPr>
        <w:widowControl/>
        <w:tabs>
          <w:tab w:val="left" w:pos="1080"/>
        </w:tabs>
        <w:spacing w:after="0"/>
      </w:pPr>
    </w:p>
    <w:p w:rsidR="009F4094" w:rsidRDefault="009F4094" w:rsidP="00075F08">
      <w:pPr>
        <w:widowControl/>
        <w:tabs>
          <w:tab w:val="left" w:pos="1080"/>
        </w:tabs>
        <w:jc w:val="center"/>
        <w:sectPr w:rsidR="009F4094" w:rsidSect="001474CC">
          <w:pgSz w:w="12240" w:h="15840" w:code="1"/>
          <w:pgMar w:top="720" w:right="1800" w:bottom="720" w:left="1800" w:header="0" w:footer="0" w:gutter="0"/>
          <w:cols w:space="720"/>
          <w:docGrid w:linePitch="360"/>
        </w:sectPr>
      </w:pPr>
    </w:p>
    <w:p w:rsidR="00DD0A98" w:rsidRDefault="00DD0A98" w:rsidP="00075F08">
      <w:pPr>
        <w:widowControl/>
        <w:tabs>
          <w:tab w:val="left" w:pos="1080"/>
        </w:tabs>
        <w:jc w:val="center"/>
      </w:pPr>
      <w:r w:rsidRPr="00DD0A98">
        <w:rPr>
          <w:b/>
        </w:rPr>
        <w:lastRenderedPageBreak/>
        <w:t>STERLING CONSTRUCTION COMPANY, INC</w:t>
      </w:r>
      <w:r>
        <w:t>.</w:t>
      </w:r>
    </w:p>
    <w:p w:rsidR="00DD0A98" w:rsidRPr="00DD0A98" w:rsidRDefault="00DD0A98" w:rsidP="00075F08">
      <w:pPr>
        <w:widowControl/>
        <w:tabs>
          <w:tab w:val="left" w:pos="1080"/>
        </w:tabs>
        <w:jc w:val="center"/>
      </w:pPr>
      <w:r w:rsidRPr="00DD0A98">
        <w:t>Proxy Statement for the 201</w:t>
      </w:r>
      <w:r w:rsidR="004970C2">
        <w:t>6</w:t>
      </w:r>
      <w:r w:rsidRPr="00DD0A98">
        <w:t xml:space="preserve"> Annual Meeting of Stockholders</w:t>
      </w:r>
    </w:p>
    <w:p w:rsidR="00475A1F" w:rsidRDefault="00DD0A98" w:rsidP="00075F08">
      <w:pPr>
        <w:widowControl/>
        <w:tabs>
          <w:tab w:val="left" w:pos="1080"/>
        </w:tabs>
        <w:jc w:val="center"/>
        <w:rPr>
          <w:b/>
          <w:smallCaps/>
        </w:rPr>
      </w:pPr>
      <w:r w:rsidRPr="00DD0A98">
        <w:rPr>
          <w:b/>
          <w:smallCaps/>
        </w:rPr>
        <w:t>Table of Contents</w:t>
      </w:r>
    </w:p>
    <w:p w:rsidR="00DD0A98" w:rsidRDefault="003A711E" w:rsidP="00075F08">
      <w:pPr>
        <w:widowControl/>
        <w:tabs>
          <w:tab w:val="left" w:pos="1080"/>
        </w:tabs>
        <w:jc w:val="center"/>
        <w:rPr>
          <w:b/>
          <w:smallCaps/>
        </w:rPr>
      </w:pPr>
      <w:r>
        <w:rPr>
          <w:b/>
          <w:smallCaps/>
        </w:rPr>
        <w:pict>
          <v:rect id="_x0000_i1025" style="width:0;height:1.5pt" o:hralign="center" o:hrstd="t" o:hr="t" fillcolor="#a0a0a0" stroked="f"/>
        </w:pict>
      </w:r>
    </w:p>
    <w:p w:rsidR="001A222F" w:rsidRDefault="00850C8A">
      <w:pPr>
        <w:pStyle w:val="TOC1"/>
        <w:rPr>
          <w:rFonts w:asciiTheme="minorHAnsi" w:eastAsiaTheme="minorEastAsia" w:hAnsiTheme="minorHAnsi" w:cstheme="minorBidi"/>
          <w:b w:val="0"/>
          <w:smallCaps w:val="0"/>
          <w:noProof/>
          <w:snapToGrid/>
          <w:sz w:val="22"/>
          <w:szCs w:val="22"/>
        </w:rPr>
      </w:pPr>
      <w:r>
        <w:fldChar w:fldCharType="begin"/>
      </w:r>
      <w:r>
        <w:instrText xml:space="preserve"> TOC \h \z \t "001_Proxy,1,002_Proxy,2,003_Proxy,3" </w:instrText>
      </w:r>
      <w:r>
        <w:fldChar w:fldCharType="separate"/>
      </w:r>
      <w:hyperlink w:anchor="_Toc445739537" w:history="1">
        <w:r w:rsidR="001A222F" w:rsidRPr="00FC7B4C">
          <w:rPr>
            <w:rStyle w:val="Hyperlink"/>
            <w:noProof/>
          </w:rPr>
          <w:t>SUMMARY OF THE PROXY STATEMENT</w:t>
        </w:r>
        <w:r w:rsidR="001A222F">
          <w:rPr>
            <w:noProof/>
            <w:webHidden/>
          </w:rPr>
          <w:tab/>
        </w:r>
        <w:r w:rsidR="001A222F">
          <w:rPr>
            <w:noProof/>
            <w:webHidden/>
          </w:rPr>
          <w:fldChar w:fldCharType="begin"/>
        </w:r>
        <w:r w:rsidR="001A222F">
          <w:rPr>
            <w:noProof/>
            <w:webHidden/>
          </w:rPr>
          <w:instrText xml:space="preserve"> PAGEREF _Toc445739537 \h </w:instrText>
        </w:r>
        <w:r w:rsidR="001A222F">
          <w:rPr>
            <w:noProof/>
            <w:webHidden/>
          </w:rPr>
        </w:r>
        <w:r w:rsidR="001A222F">
          <w:rPr>
            <w:noProof/>
            <w:webHidden/>
          </w:rPr>
          <w:fldChar w:fldCharType="separate"/>
        </w:r>
        <w:r w:rsidR="001A222F">
          <w:rPr>
            <w:noProof/>
            <w:webHidden/>
          </w:rPr>
          <w:t>I</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38" w:history="1">
        <w:r w:rsidR="001A222F" w:rsidRPr="00FC7B4C">
          <w:rPr>
            <w:rStyle w:val="Hyperlink"/>
            <w:smallCaps/>
            <w:noProof/>
          </w:rPr>
          <w:t>Matters to be Voted on at the Meeting</w:t>
        </w:r>
        <w:r w:rsidR="001A222F">
          <w:rPr>
            <w:noProof/>
            <w:webHidden/>
          </w:rPr>
          <w:tab/>
        </w:r>
        <w:r w:rsidR="001A222F">
          <w:rPr>
            <w:noProof/>
            <w:webHidden/>
          </w:rPr>
          <w:fldChar w:fldCharType="begin"/>
        </w:r>
        <w:r w:rsidR="001A222F">
          <w:rPr>
            <w:noProof/>
            <w:webHidden/>
          </w:rPr>
          <w:instrText xml:space="preserve"> PAGEREF _Toc445739538 \h </w:instrText>
        </w:r>
        <w:r w:rsidR="001A222F">
          <w:rPr>
            <w:noProof/>
            <w:webHidden/>
          </w:rPr>
        </w:r>
        <w:r w:rsidR="001A222F">
          <w:rPr>
            <w:noProof/>
            <w:webHidden/>
          </w:rPr>
          <w:fldChar w:fldCharType="separate"/>
        </w:r>
        <w:r w:rsidR="001A222F">
          <w:rPr>
            <w:noProof/>
            <w:webHidden/>
          </w:rPr>
          <w:t>I</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39" w:history="1">
        <w:r w:rsidR="001A222F" w:rsidRPr="00FC7B4C">
          <w:rPr>
            <w:rStyle w:val="Hyperlink"/>
            <w:smallCaps/>
            <w:noProof/>
          </w:rPr>
          <w:t>Summary of Executive Compensation</w:t>
        </w:r>
        <w:r w:rsidR="001A222F">
          <w:rPr>
            <w:noProof/>
            <w:webHidden/>
          </w:rPr>
          <w:tab/>
        </w:r>
        <w:r w:rsidR="001A222F">
          <w:rPr>
            <w:noProof/>
            <w:webHidden/>
          </w:rPr>
          <w:fldChar w:fldCharType="begin"/>
        </w:r>
        <w:r w:rsidR="001A222F">
          <w:rPr>
            <w:noProof/>
            <w:webHidden/>
          </w:rPr>
          <w:instrText xml:space="preserve"> PAGEREF _Toc445739539 \h </w:instrText>
        </w:r>
        <w:r w:rsidR="001A222F">
          <w:rPr>
            <w:noProof/>
            <w:webHidden/>
          </w:rPr>
        </w:r>
        <w:r w:rsidR="001A222F">
          <w:rPr>
            <w:noProof/>
            <w:webHidden/>
          </w:rPr>
          <w:fldChar w:fldCharType="separate"/>
        </w:r>
        <w:r w:rsidR="001A222F">
          <w:rPr>
            <w:noProof/>
            <w:webHidden/>
          </w:rPr>
          <w:t>II</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40" w:history="1">
        <w:r w:rsidR="001A222F" w:rsidRPr="00FC7B4C">
          <w:rPr>
            <w:rStyle w:val="Hyperlink"/>
            <w:noProof/>
          </w:rPr>
          <w:t>2015 Compensation</w:t>
        </w:r>
        <w:r w:rsidR="001A222F">
          <w:rPr>
            <w:noProof/>
            <w:webHidden/>
          </w:rPr>
          <w:tab/>
        </w:r>
        <w:r w:rsidR="001A222F">
          <w:rPr>
            <w:noProof/>
            <w:webHidden/>
          </w:rPr>
          <w:fldChar w:fldCharType="begin"/>
        </w:r>
        <w:r w:rsidR="001A222F">
          <w:rPr>
            <w:noProof/>
            <w:webHidden/>
          </w:rPr>
          <w:instrText xml:space="preserve"> PAGEREF _Toc445739540 \h </w:instrText>
        </w:r>
        <w:r w:rsidR="001A222F">
          <w:rPr>
            <w:noProof/>
            <w:webHidden/>
          </w:rPr>
        </w:r>
        <w:r w:rsidR="001A222F">
          <w:rPr>
            <w:noProof/>
            <w:webHidden/>
          </w:rPr>
          <w:fldChar w:fldCharType="separate"/>
        </w:r>
        <w:r w:rsidR="001A222F">
          <w:rPr>
            <w:noProof/>
            <w:webHidden/>
          </w:rPr>
          <w:t>II</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1" w:history="1">
        <w:r w:rsidR="001A222F" w:rsidRPr="00FC7B4C">
          <w:rPr>
            <w:rStyle w:val="Hyperlink"/>
            <w:smallCaps/>
            <w:noProof/>
          </w:rPr>
          <w:t>Summary of Corporate Governance</w:t>
        </w:r>
        <w:r w:rsidR="001A222F">
          <w:rPr>
            <w:noProof/>
            <w:webHidden/>
          </w:rPr>
          <w:tab/>
        </w:r>
        <w:r w:rsidR="001A222F">
          <w:rPr>
            <w:noProof/>
            <w:webHidden/>
          </w:rPr>
          <w:fldChar w:fldCharType="begin"/>
        </w:r>
        <w:r w:rsidR="001A222F">
          <w:rPr>
            <w:noProof/>
            <w:webHidden/>
          </w:rPr>
          <w:instrText xml:space="preserve"> PAGEREF _Toc445739541 \h </w:instrText>
        </w:r>
        <w:r w:rsidR="001A222F">
          <w:rPr>
            <w:noProof/>
            <w:webHidden/>
          </w:rPr>
        </w:r>
        <w:r w:rsidR="001A222F">
          <w:rPr>
            <w:noProof/>
            <w:webHidden/>
          </w:rPr>
          <w:fldChar w:fldCharType="separate"/>
        </w:r>
        <w:r w:rsidR="001A222F">
          <w:rPr>
            <w:noProof/>
            <w:webHidden/>
          </w:rPr>
          <w:t>III</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42" w:history="1">
        <w:r w:rsidR="001A222F" w:rsidRPr="00FC7B4C">
          <w:rPr>
            <w:rStyle w:val="Hyperlink"/>
            <w:noProof/>
          </w:rPr>
          <w:t>GENERAL INFORMATION</w:t>
        </w:r>
        <w:r w:rsidR="001A222F">
          <w:rPr>
            <w:noProof/>
            <w:webHidden/>
          </w:rPr>
          <w:tab/>
        </w:r>
        <w:r w:rsidR="001A222F">
          <w:rPr>
            <w:noProof/>
            <w:webHidden/>
          </w:rPr>
          <w:fldChar w:fldCharType="begin"/>
        </w:r>
        <w:r w:rsidR="001A222F">
          <w:rPr>
            <w:noProof/>
            <w:webHidden/>
          </w:rPr>
          <w:instrText xml:space="preserve"> PAGEREF _Toc445739542 \h </w:instrText>
        </w:r>
        <w:r w:rsidR="001A222F">
          <w:rPr>
            <w:noProof/>
            <w:webHidden/>
          </w:rPr>
        </w:r>
        <w:r w:rsidR="001A222F">
          <w:rPr>
            <w:noProof/>
            <w:webHidden/>
          </w:rPr>
          <w:fldChar w:fldCharType="separate"/>
        </w:r>
        <w:r w:rsidR="001A222F">
          <w:rPr>
            <w:noProof/>
            <w:webHidden/>
          </w:rPr>
          <w:t>1</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3" w:history="1">
        <w:r w:rsidR="001A222F" w:rsidRPr="00FC7B4C">
          <w:rPr>
            <w:rStyle w:val="Hyperlink"/>
            <w:noProof/>
          </w:rPr>
          <w:t>The Record Date</w:t>
        </w:r>
        <w:r w:rsidR="001A222F">
          <w:rPr>
            <w:noProof/>
            <w:webHidden/>
          </w:rPr>
          <w:tab/>
        </w:r>
        <w:r w:rsidR="001A222F">
          <w:rPr>
            <w:noProof/>
            <w:webHidden/>
          </w:rPr>
          <w:fldChar w:fldCharType="begin"/>
        </w:r>
        <w:r w:rsidR="001A222F">
          <w:rPr>
            <w:noProof/>
            <w:webHidden/>
          </w:rPr>
          <w:instrText xml:space="preserve"> PAGEREF _Toc445739543 \h </w:instrText>
        </w:r>
        <w:r w:rsidR="001A222F">
          <w:rPr>
            <w:noProof/>
            <w:webHidden/>
          </w:rPr>
        </w:r>
        <w:r w:rsidR="001A222F">
          <w:rPr>
            <w:noProof/>
            <w:webHidden/>
          </w:rPr>
          <w:fldChar w:fldCharType="separate"/>
        </w:r>
        <w:r w:rsidR="001A222F">
          <w:rPr>
            <w:noProof/>
            <w:webHidden/>
          </w:rPr>
          <w:t>1</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4" w:history="1">
        <w:r w:rsidR="001A222F" w:rsidRPr="00FC7B4C">
          <w:rPr>
            <w:rStyle w:val="Hyperlink"/>
            <w:noProof/>
          </w:rPr>
          <w:t>Methods of Voting</w:t>
        </w:r>
        <w:r w:rsidR="001A222F">
          <w:rPr>
            <w:noProof/>
            <w:webHidden/>
          </w:rPr>
          <w:tab/>
        </w:r>
        <w:r w:rsidR="001A222F">
          <w:rPr>
            <w:noProof/>
            <w:webHidden/>
          </w:rPr>
          <w:fldChar w:fldCharType="begin"/>
        </w:r>
        <w:r w:rsidR="001A222F">
          <w:rPr>
            <w:noProof/>
            <w:webHidden/>
          </w:rPr>
          <w:instrText xml:space="preserve"> PAGEREF _Toc445739544 \h </w:instrText>
        </w:r>
        <w:r w:rsidR="001A222F">
          <w:rPr>
            <w:noProof/>
            <w:webHidden/>
          </w:rPr>
        </w:r>
        <w:r w:rsidR="001A222F">
          <w:rPr>
            <w:noProof/>
            <w:webHidden/>
          </w:rPr>
          <w:fldChar w:fldCharType="separate"/>
        </w:r>
        <w:r w:rsidR="001A222F">
          <w:rPr>
            <w:noProof/>
            <w:webHidden/>
          </w:rPr>
          <w:t>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45" w:history="1">
        <w:r w:rsidR="001A222F" w:rsidRPr="00FC7B4C">
          <w:rPr>
            <w:rStyle w:val="Hyperlink"/>
            <w:noProof/>
          </w:rPr>
          <w:t>Voting in Person</w:t>
        </w:r>
        <w:r w:rsidR="001A222F">
          <w:rPr>
            <w:noProof/>
            <w:webHidden/>
          </w:rPr>
          <w:tab/>
        </w:r>
        <w:r w:rsidR="001A222F">
          <w:rPr>
            <w:noProof/>
            <w:webHidden/>
          </w:rPr>
          <w:fldChar w:fldCharType="begin"/>
        </w:r>
        <w:r w:rsidR="001A222F">
          <w:rPr>
            <w:noProof/>
            <w:webHidden/>
          </w:rPr>
          <w:instrText xml:space="preserve"> PAGEREF _Toc445739545 \h </w:instrText>
        </w:r>
        <w:r w:rsidR="001A222F">
          <w:rPr>
            <w:noProof/>
            <w:webHidden/>
          </w:rPr>
        </w:r>
        <w:r w:rsidR="001A222F">
          <w:rPr>
            <w:noProof/>
            <w:webHidden/>
          </w:rPr>
          <w:fldChar w:fldCharType="separate"/>
        </w:r>
        <w:r w:rsidR="001A222F">
          <w:rPr>
            <w:noProof/>
            <w:webHidden/>
          </w:rPr>
          <w:t>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46" w:history="1">
        <w:r w:rsidR="001A222F" w:rsidRPr="00FC7B4C">
          <w:rPr>
            <w:rStyle w:val="Hyperlink"/>
            <w:noProof/>
          </w:rPr>
          <w:t>Voting by Proxy</w:t>
        </w:r>
        <w:r w:rsidR="001A222F">
          <w:rPr>
            <w:noProof/>
            <w:webHidden/>
          </w:rPr>
          <w:tab/>
        </w:r>
        <w:r w:rsidR="001A222F">
          <w:rPr>
            <w:noProof/>
            <w:webHidden/>
          </w:rPr>
          <w:fldChar w:fldCharType="begin"/>
        </w:r>
        <w:r w:rsidR="001A222F">
          <w:rPr>
            <w:noProof/>
            <w:webHidden/>
          </w:rPr>
          <w:instrText xml:space="preserve"> PAGEREF _Toc445739546 \h </w:instrText>
        </w:r>
        <w:r w:rsidR="001A222F">
          <w:rPr>
            <w:noProof/>
            <w:webHidden/>
          </w:rPr>
        </w:r>
        <w:r w:rsidR="001A222F">
          <w:rPr>
            <w:noProof/>
            <w:webHidden/>
          </w:rPr>
          <w:fldChar w:fldCharType="separate"/>
        </w:r>
        <w:r w:rsidR="001A222F">
          <w:rPr>
            <w:noProof/>
            <w:webHidden/>
          </w:rPr>
          <w:t>2</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7" w:history="1">
        <w:r w:rsidR="001A222F" w:rsidRPr="00FC7B4C">
          <w:rPr>
            <w:rStyle w:val="Hyperlink"/>
            <w:noProof/>
          </w:rPr>
          <w:t>Revocation of a Proxy</w:t>
        </w:r>
        <w:r w:rsidR="001A222F">
          <w:rPr>
            <w:noProof/>
            <w:webHidden/>
          </w:rPr>
          <w:tab/>
        </w:r>
        <w:r w:rsidR="001A222F">
          <w:rPr>
            <w:noProof/>
            <w:webHidden/>
          </w:rPr>
          <w:fldChar w:fldCharType="begin"/>
        </w:r>
        <w:r w:rsidR="001A222F">
          <w:rPr>
            <w:noProof/>
            <w:webHidden/>
          </w:rPr>
          <w:instrText xml:space="preserve"> PAGEREF _Toc445739547 \h </w:instrText>
        </w:r>
        <w:r w:rsidR="001A222F">
          <w:rPr>
            <w:noProof/>
            <w:webHidden/>
          </w:rPr>
        </w:r>
        <w:r w:rsidR="001A222F">
          <w:rPr>
            <w:noProof/>
            <w:webHidden/>
          </w:rPr>
          <w:fldChar w:fldCharType="separate"/>
        </w:r>
        <w:r w:rsidR="001A222F">
          <w:rPr>
            <w:noProof/>
            <w:webHidden/>
          </w:rPr>
          <w:t>2</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8" w:history="1">
        <w:r w:rsidR="001A222F" w:rsidRPr="00FC7B4C">
          <w:rPr>
            <w:rStyle w:val="Hyperlink"/>
            <w:noProof/>
          </w:rPr>
          <w:t>Quorum, Vote Required &amp; Method of Counting</w:t>
        </w:r>
        <w:r w:rsidR="001A222F">
          <w:rPr>
            <w:noProof/>
            <w:webHidden/>
          </w:rPr>
          <w:tab/>
        </w:r>
        <w:r w:rsidR="001A222F">
          <w:rPr>
            <w:noProof/>
            <w:webHidden/>
          </w:rPr>
          <w:fldChar w:fldCharType="begin"/>
        </w:r>
        <w:r w:rsidR="001A222F">
          <w:rPr>
            <w:noProof/>
            <w:webHidden/>
          </w:rPr>
          <w:instrText xml:space="preserve"> PAGEREF _Toc445739548 \h </w:instrText>
        </w:r>
        <w:r w:rsidR="001A222F">
          <w:rPr>
            <w:noProof/>
            <w:webHidden/>
          </w:rPr>
        </w:r>
        <w:r w:rsidR="001A222F">
          <w:rPr>
            <w:noProof/>
            <w:webHidden/>
          </w:rPr>
          <w:fldChar w:fldCharType="separate"/>
        </w:r>
        <w:r w:rsidR="001A222F">
          <w:rPr>
            <w:noProof/>
            <w:webHidden/>
          </w:rPr>
          <w:t>3</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49" w:history="1">
        <w:r w:rsidR="001A222F" w:rsidRPr="00FC7B4C">
          <w:rPr>
            <w:rStyle w:val="Hyperlink"/>
            <w:noProof/>
          </w:rPr>
          <w:t>The Solicitation of Proxies &amp; Expenses</w:t>
        </w:r>
        <w:r w:rsidR="001A222F">
          <w:rPr>
            <w:noProof/>
            <w:webHidden/>
          </w:rPr>
          <w:tab/>
        </w:r>
        <w:r w:rsidR="001A222F">
          <w:rPr>
            <w:noProof/>
            <w:webHidden/>
          </w:rPr>
          <w:fldChar w:fldCharType="begin"/>
        </w:r>
        <w:r w:rsidR="001A222F">
          <w:rPr>
            <w:noProof/>
            <w:webHidden/>
          </w:rPr>
          <w:instrText xml:space="preserve"> PAGEREF _Toc445739549 \h </w:instrText>
        </w:r>
        <w:r w:rsidR="001A222F">
          <w:rPr>
            <w:noProof/>
            <w:webHidden/>
          </w:rPr>
        </w:r>
        <w:r w:rsidR="001A222F">
          <w:rPr>
            <w:noProof/>
            <w:webHidden/>
          </w:rPr>
          <w:fldChar w:fldCharType="separate"/>
        </w:r>
        <w:r w:rsidR="001A222F">
          <w:rPr>
            <w:noProof/>
            <w:webHidden/>
          </w:rPr>
          <w:t>3</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0" w:history="1">
        <w:r w:rsidR="001A222F" w:rsidRPr="00FC7B4C">
          <w:rPr>
            <w:rStyle w:val="Hyperlink"/>
            <w:noProof/>
          </w:rPr>
          <w:t>The 2015 Annual Report</w:t>
        </w:r>
        <w:r w:rsidR="001A222F">
          <w:rPr>
            <w:noProof/>
            <w:webHidden/>
          </w:rPr>
          <w:tab/>
        </w:r>
        <w:r w:rsidR="001A222F">
          <w:rPr>
            <w:noProof/>
            <w:webHidden/>
          </w:rPr>
          <w:fldChar w:fldCharType="begin"/>
        </w:r>
        <w:r w:rsidR="001A222F">
          <w:rPr>
            <w:noProof/>
            <w:webHidden/>
          </w:rPr>
          <w:instrText xml:space="preserve"> PAGEREF _Toc445739550 \h </w:instrText>
        </w:r>
        <w:r w:rsidR="001A222F">
          <w:rPr>
            <w:noProof/>
            <w:webHidden/>
          </w:rPr>
        </w:r>
        <w:r w:rsidR="001A222F">
          <w:rPr>
            <w:noProof/>
            <w:webHidden/>
          </w:rPr>
          <w:fldChar w:fldCharType="separate"/>
        </w:r>
        <w:r w:rsidR="001A222F">
          <w:rPr>
            <w:noProof/>
            <w:webHidden/>
          </w:rPr>
          <w:t>3</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51" w:history="1">
        <w:r w:rsidR="001A222F" w:rsidRPr="00FC7B4C">
          <w:rPr>
            <w:rStyle w:val="Hyperlink"/>
            <w:noProof/>
          </w:rPr>
          <w:t>ELECTION OF DIRECTORS</w:t>
        </w:r>
        <w:r w:rsidR="001A222F" w:rsidRPr="00FC7B4C">
          <w:rPr>
            <w:rStyle w:val="Hyperlink"/>
            <w:i/>
            <w:noProof/>
          </w:rPr>
          <w:t xml:space="preserve"> (Proposal 1)</w:t>
        </w:r>
        <w:r w:rsidR="001A222F">
          <w:rPr>
            <w:noProof/>
            <w:webHidden/>
          </w:rPr>
          <w:tab/>
        </w:r>
        <w:r w:rsidR="001A222F">
          <w:rPr>
            <w:noProof/>
            <w:webHidden/>
          </w:rPr>
          <w:fldChar w:fldCharType="begin"/>
        </w:r>
        <w:r w:rsidR="001A222F">
          <w:rPr>
            <w:noProof/>
            <w:webHidden/>
          </w:rPr>
          <w:instrText xml:space="preserve"> PAGEREF _Toc445739551 \h </w:instrText>
        </w:r>
        <w:r w:rsidR="001A222F">
          <w:rPr>
            <w:noProof/>
            <w:webHidden/>
          </w:rPr>
        </w:r>
        <w:r w:rsidR="001A222F">
          <w:rPr>
            <w:noProof/>
            <w:webHidden/>
          </w:rPr>
          <w:fldChar w:fldCharType="separate"/>
        </w:r>
        <w:r w:rsidR="001A222F">
          <w:rPr>
            <w:noProof/>
            <w:webHidden/>
          </w:rPr>
          <w:t>4</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2" w:history="1">
        <w:r w:rsidR="001A222F" w:rsidRPr="00FC7B4C">
          <w:rPr>
            <w:rStyle w:val="Hyperlink"/>
            <w:noProof/>
          </w:rPr>
          <w:t>Term of Office &amp; Declassification of Directors</w:t>
        </w:r>
        <w:r w:rsidR="001A222F">
          <w:rPr>
            <w:noProof/>
            <w:webHidden/>
          </w:rPr>
          <w:tab/>
        </w:r>
        <w:r w:rsidR="001A222F">
          <w:rPr>
            <w:noProof/>
            <w:webHidden/>
          </w:rPr>
          <w:fldChar w:fldCharType="begin"/>
        </w:r>
        <w:r w:rsidR="001A222F">
          <w:rPr>
            <w:noProof/>
            <w:webHidden/>
          </w:rPr>
          <w:instrText xml:space="preserve"> PAGEREF _Toc445739552 \h </w:instrText>
        </w:r>
        <w:r w:rsidR="001A222F">
          <w:rPr>
            <w:noProof/>
            <w:webHidden/>
          </w:rPr>
        </w:r>
        <w:r w:rsidR="001A222F">
          <w:rPr>
            <w:noProof/>
            <w:webHidden/>
          </w:rPr>
          <w:fldChar w:fldCharType="separate"/>
        </w:r>
        <w:r w:rsidR="001A222F">
          <w:rPr>
            <w:noProof/>
            <w:webHidden/>
          </w:rPr>
          <w:t>4</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3" w:history="1">
        <w:r w:rsidR="001A222F" w:rsidRPr="00FC7B4C">
          <w:rPr>
            <w:rStyle w:val="Hyperlink"/>
            <w:noProof/>
          </w:rPr>
          <w:t>The Nominees &amp; Continuing Director; Independence</w:t>
        </w:r>
        <w:r w:rsidR="001A222F">
          <w:rPr>
            <w:noProof/>
            <w:webHidden/>
          </w:rPr>
          <w:tab/>
        </w:r>
        <w:r w:rsidR="001A222F">
          <w:rPr>
            <w:noProof/>
            <w:webHidden/>
          </w:rPr>
          <w:fldChar w:fldCharType="begin"/>
        </w:r>
        <w:r w:rsidR="001A222F">
          <w:rPr>
            <w:noProof/>
            <w:webHidden/>
          </w:rPr>
          <w:instrText xml:space="preserve"> PAGEREF _Toc445739553 \h </w:instrText>
        </w:r>
        <w:r w:rsidR="001A222F">
          <w:rPr>
            <w:noProof/>
            <w:webHidden/>
          </w:rPr>
        </w:r>
        <w:r w:rsidR="001A222F">
          <w:rPr>
            <w:noProof/>
            <w:webHidden/>
          </w:rPr>
          <w:fldChar w:fldCharType="separate"/>
        </w:r>
        <w:r w:rsidR="001A222F">
          <w:rPr>
            <w:noProof/>
            <w:webHidden/>
          </w:rPr>
          <w:t>4</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4" w:history="1">
        <w:r w:rsidR="001A222F" w:rsidRPr="00FC7B4C">
          <w:rPr>
            <w:rStyle w:val="Hyperlink"/>
            <w:noProof/>
          </w:rPr>
          <w:t>Background &amp; Skills of the Nominees &amp; Continuing Director</w:t>
        </w:r>
        <w:r w:rsidR="001A222F">
          <w:rPr>
            <w:noProof/>
            <w:webHidden/>
          </w:rPr>
          <w:tab/>
        </w:r>
        <w:r w:rsidR="001A222F">
          <w:rPr>
            <w:noProof/>
            <w:webHidden/>
          </w:rPr>
          <w:fldChar w:fldCharType="begin"/>
        </w:r>
        <w:r w:rsidR="001A222F">
          <w:rPr>
            <w:noProof/>
            <w:webHidden/>
          </w:rPr>
          <w:instrText xml:space="preserve"> PAGEREF _Toc445739554 \h </w:instrText>
        </w:r>
        <w:r w:rsidR="001A222F">
          <w:rPr>
            <w:noProof/>
            <w:webHidden/>
          </w:rPr>
        </w:r>
        <w:r w:rsidR="001A222F">
          <w:rPr>
            <w:noProof/>
            <w:webHidden/>
          </w:rPr>
          <w:fldChar w:fldCharType="separate"/>
        </w:r>
        <w:r w:rsidR="001A222F">
          <w:rPr>
            <w:noProof/>
            <w:webHidden/>
          </w:rPr>
          <w:t>5</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55" w:history="1">
        <w:r w:rsidR="001A222F" w:rsidRPr="00FC7B4C">
          <w:rPr>
            <w:rStyle w:val="Hyperlink"/>
            <w:noProof/>
          </w:rPr>
          <w:t xml:space="preserve">RATIFICATION OF THE SELECTION OF THE INDEPENDENT REGISTERED PUBLIC ACCOUNTING FIRM </w:t>
        </w:r>
        <w:r w:rsidR="001A222F" w:rsidRPr="00FC7B4C">
          <w:rPr>
            <w:rStyle w:val="Hyperlink"/>
            <w:i/>
            <w:noProof/>
          </w:rPr>
          <w:t>(Proposal 2)</w:t>
        </w:r>
        <w:r w:rsidR="001A222F">
          <w:rPr>
            <w:noProof/>
            <w:webHidden/>
          </w:rPr>
          <w:tab/>
        </w:r>
        <w:r w:rsidR="001A222F">
          <w:rPr>
            <w:noProof/>
            <w:webHidden/>
          </w:rPr>
          <w:fldChar w:fldCharType="begin"/>
        </w:r>
        <w:r w:rsidR="001A222F">
          <w:rPr>
            <w:noProof/>
            <w:webHidden/>
          </w:rPr>
          <w:instrText xml:space="preserve"> PAGEREF _Toc445739555 \h </w:instrText>
        </w:r>
        <w:r w:rsidR="001A222F">
          <w:rPr>
            <w:noProof/>
            <w:webHidden/>
          </w:rPr>
        </w:r>
        <w:r w:rsidR="001A222F">
          <w:rPr>
            <w:noProof/>
            <w:webHidden/>
          </w:rPr>
          <w:fldChar w:fldCharType="separate"/>
        </w:r>
        <w:r w:rsidR="001A222F">
          <w:rPr>
            <w:noProof/>
            <w:webHidden/>
          </w:rPr>
          <w:t>9</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56" w:history="1">
        <w:r w:rsidR="001A222F" w:rsidRPr="00FC7B4C">
          <w:rPr>
            <w:rStyle w:val="Hyperlink"/>
            <w:noProof/>
          </w:rPr>
          <w:t xml:space="preserve">APPROVAL OF THE COMPANY’S NAMED EXECUTIVE OFFICER COMPENSATION FOR 2015 (an advisory vote) </w:t>
        </w:r>
        <w:r w:rsidR="001A222F" w:rsidRPr="00FC7B4C">
          <w:rPr>
            <w:rStyle w:val="Hyperlink"/>
            <w:i/>
            <w:noProof/>
          </w:rPr>
          <w:t>(Proposal 3)</w:t>
        </w:r>
        <w:r w:rsidR="001A222F">
          <w:rPr>
            <w:noProof/>
            <w:webHidden/>
          </w:rPr>
          <w:tab/>
        </w:r>
        <w:r w:rsidR="001A222F">
          <w:rPr>
            <w:noProof/>
            <w:webHidden/>
          </w:rPr>
          <w:fldChar w:fldCharType="begin"/>
        </w:r>
        <w:r w:rsidR="001A222F">
          <w:rPr>
            <w:noProof/>
            <w:webHidden/>
          </w:rPr>
          <w:instrText xml:space="preserve"> PAGEREF _Toc445739556 \h </w:instrText>
        </w:r>
        <w:r w:rsidR="001A222F">
          <w:rPr>
            <w:noProof/>
            <w:webHidden/>
          </w:rPr>
        </w:r>
        <w:r w:rsidR="001A222F">
          <w:rPr>
            <w:noProof/>
            <w:webHidden/>
          </w:rPr>
          <w:fldChar w:fldCharType="separate"/>
        </w:r>
        <w:r w:rsidR="001A222F">
          <w:rPr>
            <w:noProof/>
            <w:webHidden/>
          </w:rPr>
          <w:t>9</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57" w:history="1">
        <w:r w:rsidR="001A222F" w:rsidRPr="00FC7B4C">
          <w:rPr>
            <w:rStyle w:val="Hyperlink"/>
            <w:noProof/>
          </w:rPr>
          <w:t>THE BOARD OF DIRECTORS</w:t>
        </w:r>
        <w:r w:rsidR="001A222F">
          <w:rPr>
            <w:noProof/>
            <w:webHidden/>
          </w:rPr>
          <w:tab/>
        </w:r>
        <w:r w:rsidR="001A222F">
          <w:rPr>
            <w:noProof/>
            <w:webHidden/>
          </w:rPr>
          <w:fldChar w:fldCharType="begin"/>
        </w:r>
        <w:r w:rsidR="001A222F">
          <w:rPr>
            <w:noProof/>
            <w:webHidden/>
          </w:rPr>
          <w:instrText xml:space="preserve"> PAGEREF _Toc445739557 \h </w:instrText>
        </w:r>
        <w:r w:rsidR="001A222F">
          <w:rPr>
            <w:noProof/>
            <w:webHidden/>
          </w:rPr>
        </w:r>
        <w:r w:rsidR="001A222F">
          <w:rPr>
            <w:noProof/>
            <w:webHidden/>
          </w:rPr>
          <w:fldChar w:fldCharType="separate"/>
        </w:r>
        <w:r w:rsidR="001A222F">
          <w:rPr>
            <w:noProof/>
            <w:webHidden/>
          </w:rPr>
          <w:t>10</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8" w:history="1">
        <w:r w:rsidR="001A222F" w:rsidRPr="00FC7B4C">
          <w:rPr>
            <w:rStyle w:val="Hyperlink"/>
            <w:noProof/>
          </w:rPr>
          <w:t>Communicating with the Board</w:t>
        </w:r>
        <w:r w:rsidR="001A222F">
          <w:rPr>
            <w:noProof/>
            <w:webHidden/>
          </w:rPr>
          <w:tab/>
        </w:r>
        <w:r w:rsidR="001A222F">
          <w:rPr>
            <w:noProof/>
            <w:webHidden/>
          </w:rPr>
          <w:fldChar w:fldCharType="begin"/>
        </w:r>
        <w:r w:rsidR="001A222F">
          <w:rPr>
            <w:noProof/>
            <w:webHidden/>
          </w:rPr>
          <w:instrText xml:space="preserve"> PAGEREF _Toc445739558 \h </w:instrText>
        </w:r>
        <w:r w:rsidR="001A222F">
          <w:rPr>
            <w:noProof/>
            <w:webHidden/>
          </w:rPr>
        </w:r>
        <w:r w:rsidR="001A222F">
          <w:rPr>
            <w:noProof/>
            <w:webHidden/>
          </w:rPr>
          <w:fldChar w:fldCharType="separate"/>
        </w:r>
        <w:r w:rsidR="001A222F">
          <w:rPr>
            <w:noProof/>
            <w:webHidden/>
          </w:rPr>
          <w:t>10</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59" w:history="1">
        <w:r w:rsidR="001A222F" w:rsidRPr="00FC7B4C">
          <w:rPr>
            <w:rStyle w:val="Hyperlink"/>
            <w:noProof/>
          </w:rPr>
          <w:t>Board Governance</w:t>
        </w:r>
        <w:r w:rsidR="001A222F">
          <w:rPr>
            <w:noProof/>
            <w:webHidden/>
          </w:rPr>
          <w:tab/>
        </w:r>
        <w:r w:rsidR="001A222F">
          <w:rPr>
            <w:noProof/>
            <w:webHidden/>
          </w:rPr>
          <w:fldChar w:fldCharType="begin"/>
        </w:r>
        <w:r w:rsidR="001A222F">
          <w:rPr>
            <w:noProof/>
            <w:webHidden/>
          </w:rPr>
          <w:instrText xml:space="preserve"> PAGEREF _Toc445739559 \h </w:instrText>
        </w:r>
        <w:r w:rsidR="001A222F">
          <w:rPr>
            <w:noProof/>
            <w:webHidden/>
          </w:rPr>
        </w:r>
        <w:r w:rsidR="001A222F">
          <w:rPr>
            <w:noProof/>
            <w:webHidden/>
          </w:rPr>
          <w:fldChar w:fldCharType="separate"/>
        </w:r>
        <w:r w:rsidR="001A222F">
          <w:rPr>
            <w:noProof/>
            <w:webHidden/>
          </w:rPr>
          <w:t>10</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0" w:history="1">
        <w:r w:rsidR="001A222F" w:rsidRPr="00FC7B4C">
          <w:rPr>
            <w:rStyle w:val="Hyperlink"/>
            <w:noProof/>
          </w:rPr>
          <w:t>Independence</w:t>
        </w:r>
        <w:r w:rsidR="001A222F">
          <w:rPr>
            <w:noProof/>
            <w:webHidden/>
          </w:rPr>
          <w:tab/>
        </w:r>
        <w:r w:rsidR="001A222F">
          <w:rPr>
            <w:noProof/>
            <w:webHidden/>
          </w:rPr>
          <w:fldChar w:fldCharType="begin"/>
        </w:r>
        <w:r w:rsidR="001A222F">
          <w:rPr>
            <w:noProof/>
            <w:webHidden/>
          </w:rPr>
          <w:instrText xml:space="preserve"> PAGEREF _Toc445739560 \h </w:instrText>
        </w:r>
        <w:r w:rsidR="001A222F">
          <w:rPr>
            <w:noProof/>
            <w:webHidden/>
          </w:rPr>
        </w:r>
        <w:r w:rsidR="001A222F">
          <w:rPr>
            <w:noProof/>
            <w:webHidden/>
          </w:rPr>
          <w:fldChar w:fldCharType="separate"/>
        </w:r>
        <w:r w:rsidR="001A222F">
          <w:rPr>
            <w:noProof/>
            <w:webHidden/>
          </w:rPr>
          <w:t>10</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1" w:history="1">
        <w:r w:rsidR="001A222F" w:rsidRPr="00FC7B4C">
          <w:rPr>
            <w:rStyle w:val="Hyperlink"/>
            <w:noProof/>
          </w:rPr>
          <w:t>Leadership Structure</w:t>
        </w:r>
        <w:r w:rsidR="001A222F">
          <w:rPr>
            <w:noProof/>
            <w:webHidden/>
          </w:rPr>
          <w:tab/>
        </w:r>
        <w:r w:rsidR="001A222F">
          <w:rPr>
            <w:noProof/>
            <w:webHidden/>
          </w:rPr>
          <w:fldChar w:fldCharType="begin"/>
        </w:r>
        <w:r w:rsidR="001A222F">
          <w:rPr>
            <w:noProof/>
            <w:webHidden/>
          </w:rPr>
          <w:instrText xml:space="preserve"> PAGEREF _Toc445739561 \h </w:instrText>
        </w:r>
        <w:r w:rsidR="001A222F">
          <w:rPr>
            <w:noProof/>
            <w:webHidden/>
          </w:rPr>
        </w:r>
        <w:r w:rsidR="001A222F">
          <w:rPr>
            <w:noProof/>
            <w:webHidden/>
          </w:rPr>
          <w:fldChar w:fldCharType="separate"/>
        </w:r>
        <w:r w:rsidR="001A222F">
          <w:rPr>
            <w:noProof/>
            <w:webHidden/>
          </w:rPr>
          <w:t>10</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2" w:history="1">
        <w:r w:rsidR="001A222F" w:rsidRPr="00FC7B4C">
          <w:rPr>
            <w:rStyle w:val="Hyperlink"/>
            <w:noProof/>
          </w:rPr>
          <w:t>Declassification of Directors</w:t>
        </w:r>
        <w:r w:rsidR="001A222F">
          <w:rPr>
            <w:noProof/>
            <w:webHidden/>
          </w:rPr>
          <w:tab/>
        </w:r>
        <w:r w:rsidR="001A222F">
          <w:rPr>
            <w:noProof/>
            <w:webHidden/>
          </w:rPr>
          <w:fldChar w:fldCharType="begin"/>
        </w:r>
        <w:r w:rsidR="001A222F">
          <w:rPr>
            <w:noProof/>
            <w:webHidden/>
          </w:rPr>
          <w:instrText xml:space="preserve"> PAGEREF _Toc445739562 \h </w:instrText>
        </w:r>
        <w:r w:rsidR="001A222F">
          <w:rPr>
            <w:noProof/>
            <w:webHidden/>
          </w:rPr>
        </w:r>
        <w:r w:rsidR="001A222F">
          <w:rPr>
            <w:noProof/>
            <w:webHidden/>
          </w:rPr>
          <w:fldChar w:fldCharType="separate"/>
        </w:r>
        <w:r w:rsidR="001A222F">
          <w:rPr>
            <w:noProof/>
            <w:webHidden/>
          </w:rPr>
          <w:t>11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3" w:history="1">
        <w:r w:rsidR="001A222F" w:rsidRPr="00FC7B4C">
          <w:rPr>
            <w:rStyle w:val="Hyperlink"/>
            <w:noProof/>
          </w:rPr>
          <w:t>Election of Directors by Majority Vote</w:t>
        </w:r>
        <w:r w:rsidR="001A222F">
          <w:rPr>
            <w:noProof/>
            <w:webHidden/>
          </w:rPr>
          <w:tab/>
        </w:r>
        <w:r w:rsidR="001A222F">
          <w:rPr>
            <w:noProof/>
            <w:webHidden/>
          </w:rPr>
          <w:fldChar w:fldCharType="begin"/>
        </w:r>
        <w:r w:rsidR="001A222F">
          <w:rPr>
            <w:noProof/>
            <w:webHidden/>
          </w:rPr>
          <w:instrText xml:space="preserve"> PAGEREF _Toc445739563 \h </w:instrText>
        </w:r>
        <w:r w:rsidR="001A222F">
          <w:rPr>
            <w:noProof/>
            <w:webHidden/>
          </w:rPr>
        </w:r>
        <w:r w:rsidR="001A222F">
          <w:rPr>
            <w:noProof/>
            <w:webHidden/>
          </w:rPr>
          <w:fldChar w:fldCharType="separate"/>
        </w:r>
        <w:r w:rsidR="001A222F">
          <w:rPr>
            <w:noProof/>
            <w:webHidden/>
          </w:rPr>
          <w:t>11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4" w:history="1">
        <w:r w:rsidR="001A222F" w:rsidRPr="00FC7B4C">
          <w:rPr>
            <w:rStyle w:val="Hyperlink"/>
            <w:noProof/>
          </w:rPr>
          <w:t>Directors' Attendance at Meetings in 2015</w:t>
        </w:r>
        <w:r w:rsidR="001A222F">
          <w:rPr>
            <w:noProof/>
            <w:webHidden/>
          </w:rPr>
          <w:tab/>
        </w:r>
        <w:r w:rsidR="001A222F">
          <w:rPr>
            <w:noProof/>
            <w:webHidden/>
          </w:rPr>
          <w:fldChar w:fldCharType="begin"/>
        </w:r>
        <w:r w:rsidR="001A222F">
          <w:rPr>
            <w:noProof/>
            <w:webHidden/>
          </w:rPr>
          <w:instrText xml:space="preserve"> PAGEREF _Toc445739564 \h </w:instrText>
        </w:r>
        <w:r w:rsidR="001A222F">
          <w:rPr>
            <w:noProof/>
            <w:webHidden/>
          </w:rPr>
        </w:r>
        <w:r w:rsidR="001A222F">
          <w:rPr>
            <w:noProof/>
            <w:webHidden/>
          </w:rPr>
          <w:fldChar w:fldCharType="separate"/>
        </w:r>
        <w:r w:rsidR="001A222F">
          <w:rPr>
            <w:noProof/>
            <w:webHidden/>
          </w:rPr>
          <w:t>11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5" w:history="1">
        <w:r w:rsidR="001A222F" w:rsidRPr="00FC7B4C">
          <w:rPr>
            <w:rStyle w:val="Hyperlink"/>
            <w:noProof/>
          </w:rPr>
          <w:t>Stock Ownership Guidelines &amp; Policies</w:t>
        </w:r>
        <w:r w:rsidR="001A222F">
          <w:rPr>
            <w:noProof/>
            <w:webHidden/>
          </w:rPr>
          <w:tab/>
        </w:r>
        <w:r w:rsidR="001A222F">
          <w:rPr>
            <w:noProof/>
            <w:webHidden/>
          </w:rPr>
          <w:fldChar w:fldCharType="begin"/>
        </w:r>
        <w:r w:rsidR="001A222F">
          <w:rPr>
            <w:noProof/>
            <w:webHidden/>
          </w:rPr>
          <w:instrText xml:space="preserve"> PAGEREF _Toc445739565 \h </w:instrText>
        </w:r>
        <w:r w:rsidR="001A222F">
          <w:rPr>
            <w:noProof/>
            <w:webHidden/>
          </w:rPr>
        </w:r>
        <w:r w:rsidR="001A222F">
          <w:rPr>
            <w:noProof/>
            <w:webHidden/>
          </w:rPr>
          <w:fldChar w:fldCharType="separate"/>
        </w:r>
        <w:r w:rsidR="001A222F">
          <w:rPr>
            <w:noProof/>
            <w:webHidden/>
          </w:rPr>
          <w:t>11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6" w:history="1">
        <w:r w:rsidR="001A222F" w:rsidRPr="00FC7B4C">
          <w:rPr>
            <w:rStyle w:val="Hyperlink"/>
            <w:noProof/>
          </w:rPr>
          <w:t>Claw-Back Policy</w:t>
        </w:r>
        <w:r w:rsidR="001A222F">
          <w:rPr>
            <w:noProof/>
            <w:webHidden/>
          </w:rPr>
          <w:tab/>
        </w:r>
        <w:r w:rsidR="001A222F">
          <w:rPr>
            <w:noProof/>
            <w:webHidden/>
          </w:rPr>
          <w:fldChar w:fldCharType="begin"/>
        </w:r>
        <w:r w:rsidR="001A222F">
          <w:rPr>
            <w:noProof/>
            <w:webHidden/>
          </w:rPr>
          <w:instrText xml:space="preserve"> PAGEREF _Toc445739566 \h </w:instrText>
        </w:r>
        <w:r w:rsidR="001A222F">
          <w:rPr>
            <w:noProof/>
            <w:webHidden/>
          </w:rPr>
        </w:r>
        <w:r w:rsidR="001A222F">
          <w:rPr>
            <w:noProof/>
            <w:webHidden/>
          </w:rPr>
          <w:fldChar w:fldCharType="separate"/>
        </w:r>
        <w:r w:rsidR="001A222F">
          <w:rPr>
            <w:noProof/>
            <w:webHidden/>
          </w:rPr>
          <w:t>12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7" w:history="1">
        <w:r w:rsidR="001A222F" w:rsidRPr="00FC7B4C">
          <w:rPr>
            <w:rStyle w:val="Hyperlink"/>
            <w:noProof/>
          </w:rPr>
          <w:t>Board Evaluations</w:t>
        </w:r>
        <w:r w:rsidR="001A222F">
          <w:rPr>
            <w:noProof/>
            <w:webHidden/>
          </w:rPr>
          <w:tab/>
        </w:r>
        <w:r w:rsidR="001A222F">
          <w:rPr>
            <w:noProof/>
            <w:webHidden/>
          </w:rPr>
          <w:fldChar w:fldCharType="begin"/>
        </w:r>
        <w:r w:rsidR="001A222F">
          <w:rPr>
            <w:noProof/>
            <w:webHidden/>
          </w:rPr>
          <w:instrText xml:space="preserve"> PAGEREF _Toc445739567 \h </w:instrText>
        </w:r>
        <w:r w:rsidR="001A222F">
          <w:rPr>
            <w:noProof/>
            <w:webHidden/>
          </w:rPr>
        </w:r>
        <w:r w:rsidR="001A222F">
          <w:rPr>
            <w:noProof/>
            <w:webHidden/>
          </w:rPr>
          <w:fldChar w:fldCharType="separate"/>
        </w:r>
        <w:r w:rsidR="001A222F">
          <w:rPr>
            <w:noProof/>
            <w:webHidden/>
          </w:rPr>
          <w:t>12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8" w:history="1">
        <w:r w:rsidR="001A222F" w:rsidRPr="00FC7B4C">
          <w:rPr>
            <w:rStyle w:val="Hyperlink"/>
            <w:noProof/>
          </w:rPr>
          <w:t>The Board's Risk Oversight</w:t>
        </w:r>
        <w:r w:rsidR="001A222F">
          <w:rPr>
            <w:noProof/>
            <w:webHidden/>
          </w:rPr>
          <w:tab/>
        </w:r>
        <w:r w:rsidR="001A222F">
          <w:rPr>
            <w:noProof/>
            <w:webHidden/>
          </w:rPr>
          <w:fldChar w:fldCharType="begin"/>
        </w:r>
        <w:r w:rsidR="001A222F">
          <w:rPr>
            <w:noProof/>
            <w:webHidden/>
          </w:rPr>
          <w:instrText xml:space="preserve"> PAGEREF _Toc445739568 \h </w:instrText>
        </w:r>
        <w:r w:rsidR="001A222F">
          <w:rPr>
            <w:noProof/>
            <w:webHidden/>
          </w:rPr>
        </w:r>
        <w:r w:rsidR="001A222F">
          <w:rPr>
            <w:noProof/>
            <w:webHidden/>
          </w:rPr>
          <w:fldChar w:fldCharType="separate"/>
        </w:r>
        <w:r w:rsidR="001A222F">
          <w:rPr>
            <w:noProof/>
            <w:webHidden/>
          </w:rPr>
          <w:t>12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69" w:history="1">
        <w:r w:rsidR="001A222F" w:rsidRPr="00FC7B4C">
          <w:rPr>
            <w:rStyle w:val="Hyperlink"/>
            <w:noProof/>
          </w:rPr>
          <w:t>Selecting Director Nominees</w:t>
        </w:r>
        <w:r w:rsidR="001A222F">
          <w:rPr>
            <w:noProof/>
            <w:webHidden/>
          </w:rPr>
          <w:tab/>
        </w:r>
        <w:r w:rsidR="001A222F">
          <w:rPr>
            <w:noProof/>
            <w:webHidden/>
          </w:rPr>
          <w:fldChar w:fldCharType="begin"/>
        </w:r>
        <w:r w:rsidR="001A222F">
          <w:rPr>
            <w:noProof/>
            <w:webHidden/>
          </w:rPr>
          <w:instrText xml:space="preserve"> PAGEREF _Toc445739569 \h </w:instrText>
        </w:r>
        <w:r w:rsidR="001A222F">
          <w:rPr>
            <w:noProof/>
            <w:webHidden/>
          </w:rPr>
        </w:r>
        <w:r w:rsidR="001A222F">
          <w:rPr>
            <w:noProof/>
            <w:webHidden/>
          </w:rPr>
          <w:fldChar w:fldCharType="separate"/>
        </w:r>
        <w:r w:rsidR="001A222F">
          <w:rPr>
            <w:noProof/>
            <w:webHidden/>
          </w:rPr>
          <w:t>13</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70" w:history="1">
        <w:r w:rsidR="001A222F" w:rsidRPr="00FC7B4C">
          <w:rPr>
            <w:rStyle w:val="Hyperlink"/>
            <w:noProof/>
          </w:rPr>
          <w:t>Board Operations</w:t>
        </w:r>
        <w:r w:rsidR="001A222F">
          <w:rPr>
            <w:noProof/>
            <w:webHidden/>
          </w:rPr>
          <w:tab/>
        </w:r>
        <w:r w:rsidR="001A222F">
          <w:rPr>
            <w:noProof/>
            <w:webHidden/>
          </w:rPr>
          <w:fldChar w:fldCharType="begin"/>
        </w:r>
        <w:r w:rsidR="001A222F">
          <w:rPr>
            <w:noProof/>
            <w:webHidden/>
          </w:rPr>
          <w:instrText xml:space="preserve"> PAGEREF _Toc445739570 \h </w:instrText>
        </w:r>
        <w:r w:rsidR="001A222F">
          <w:rPr>
            <w:noProof/>
            <w:webHidden/>
          </w:rPr>
        </w:r>
        <w:r w:rsidR="001A222F">
          <w:rPr>
            <w:noProof/>
            <w:webHidden/>
          </w:rPr>
          <w:fldChar w:fldCharType="separate"/>
        </w:r>
        <w:r w:rsidR="001A222F">
          <w:rPr>
            <w:noProof/>
            <w:webHidden/>
          </w:rPr>
          <w:t>14</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1" w:history="1">
        <w:r w:rsidR="001A222F" w:rsidRPr="00FC7B4C">
          <w:rPr>
            <w:rStyle w:val="Hyperlink"/>
            <w:noProof/>
          </w:rPr>
          <w:t>Committees of the Board</w:t>
        </w:r>
        <w:r w:rsidR="001A222F">
          <w:rPr>
            <w:noProof/>
            <w:webHidden/>
          </w:rPr>
          <w:tab/>
        </w:r>
        <w:r w:rsidR="001A222F">
          <w:rPr>
            <w:noProof/>
            <w:webHidden/>
          </w:rPr>
          <w:fldChar w:fldCharType="begin"/>
        </w:r>
        <w:r w:rsidR="001A222F">
          <w:rPr>
            <w:noProof/>
            <w:webHidden/>
          </w:rPr>
          <w:instrText xml:space="preserve"> PAGEREF _Toc445739571 \h </w:instrText>
        </w:r>
        <w:r w:rsidR="001A222F">
          <w:rPr>
            <w:noProof/>
            <w:webHidden/>
          </w:rPr>
        </w:r>
        <w:r w:rsidR="001A222F">
          <w:rPr>
            <w:noProof/>
            <w:webHidden/>
          </w:rPr>
          <w:fldChar w:fldCharType="separate"/>
        </w:r>
        <w:r w:rsidR="001A222F">
          <w:rPr>
            <w:noProof/>
            <w:webHidden/>
          </w:rPr>
          <w:t>14</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2" w:history="1">
        <w:r w:rsidR="001A222F" w:rsidRPr="00FC7B4C">
          <w:rPr>
            <w:rStyle w:val="Hyperlink"/>
            <w:noProof/>
          </w:rPr>
          <w:t>The Audit Committee</w:t>
        </w:r>
        <w:r w:rsidR="001A222F">
          <w:rPr>
            <w:noProof/>
            <w:webHidden/>
          </w:rPr>
          <w:tab/>
        </w:r>
        <w:r w:rsidR="001A222F">
          <w:rPr>
            <w:noProof/>
            <w:webHidden/>
          </w:rPr>
          <w:fldChar w:fldCharType="begin"/>
        </w:r>
        <w:r w:rsidR="001A222F">
          <w:rPr>
            <w:noProof/>
            <w:webHidden/>
          </w:rPr>
          <w:instrText xml:space="preserve"> PAGEREF _Toc445739572 \h </w:instrText>
        </w:r>
        <w:r w:rsidR="001A222F">
          <w:rPr>
            <w:noProof/>
            <w:webHidden/>
          </w:rPr>
        </w:r>
        <w:r w:rsidR="001A222F">
          <w:rPr>
            <w:noProof/>
            <w:webHidden/>
          </w:rPr>
          <w:fldChar w:fldCharType="separate"/>
        </w:r>
        <w:r w:rsidR="001A222F">
          <w:rPr>
            <w:noProof/>
            <w:webHidden/>
          </w:rPr>
          <w:t>14</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3" w:history="1">
        <w:r w:rsidR="001A222F" w:rsidRPr="00FC7B4C">
          <w:rPr>
            <w:rStyle w:val="Hyperlink"/>
            <w:noProof/>
          </w:rPr>
          <w:t>The Audit Committee Report</w:t>
        </w:r>
        <w:r w:rsidR="001A222F">
          <w:rPr>
            <w:noProof/>
            <w:webHidden/>
          </w:rPr>
          <w:tab/>
        </w:r>
        <w:r w:rsidR="001A222F">
          <w:rPr>
            <w:noProof/>
            <w:webHidden/>
          </w:rPr>
          <w:fldChar w:fldCharType="begin"/>
        </w:r>
        <w:r w:rsidR="001A222F">
          <w:rPr>
            <w:noProof/>
            <w:webHidden/>
          </w:rPr>
          <w:instrText xml:space="preserve"> PAGEREF _Toc445739573 \h </w:instrText>
        </w:r>
        <w:r w:rsidR="001A222F">
          <w:rPr>
            <w:noProof/>
            <w:webHidden/>
          </w:rPr>
        </w:r>
        <w:r w:rsidR="001A222F">
          <w:rPr>
            <w:noProof/>
            <w:webHidden/>
          </w:rPr>
          <w:fldChar w:fldCharType="separate"/>
        </w:r>
        <w:r w:rsidR="001A222F">
          <w:rPr>
            <w:noProof/>
            <w:webHidden/>
          </w:rPr>
          <w:t>15</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4" w:history="1">
        <w:r w:rsidR="001A222F" w:rsidRPr="00FC7B4C">
          <w:rPr>
            <w:rStyle w:val="Hyperlink"/>
            <w:noProof/>
          </w:rPr>
          <w:t>The Compensation Committee</w:t>
        </w:r>
        <w:r w:rsidR="001A222F">
          <w:rPr>
            <w:noProof/>
            <w:webHidden/>
          </w:rPr>
          <w:tab/>
        </w:r>
        <w:r w:rsidR="001A222F">
          <w:rPr>
            <w:noProof/>
            <w:webHidden/>
          </w:rPr>
          <w:fldChar w:fldCharType="begin"/>
        </w:r>
        <w:r w:rsidR="001A222F">
          <w:rPr>
            <w:noProof/>
            <w:webHidden/>
          </w:rPr>
          <w:instrText xml:space="preserve"> PAGEREF _Toc445739574 \h </w:instrText>
        </w:r>
        <w:r w:rsidR="001A222F">
          <w:rPr>
            <w:noProof/>
            <w:webHidden/>
          </w:rPr>
        </w:r>
        <w:r w:rsidR="001A222F">
          <w:rPr>
            <w:noProof/>
            <w:webHidden/>
          </w:rPr>
          <w:fldChar w:fldCharType="separate"/>
        </w:r>
        <w:r w:rsidR="001A222F">
          <w:rPr>
            <w:noProof/>
            <w:webHidden/>
          </w:rPr>
          <w:t>15</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5" w:history="1">
        <w:r w:rsidR="001A222F" w:rsidRPr="00FC7B4C">
          <w:rPr>
            <w:rStyle w:val="Hyperlink"/>
            <w:noProof/>
          </w:rPr>
          <w:t>Compensation Committee Interlocks and Insider Participation</w:t>
        </w:r>
        <w:r w:rsidR="001A222F">
          <w:rPr>
            <w:noProof/>
            <w:webHidden/>
          </w:rPr>
          <w:tab/>
        </w:r>
        <w:r w:rsidR="001A222F">
          <w:rPr>
            <w:noProof/>
            <w:webHidden/>
          </w:rPr>
          <w:fldChar w:fldCharType="begin"/>
        </w:r>
        <w:r w:rsidR="001A222F">
          <w:rPr>
            <w:noProof/>
            <w:webHidden/>
          </w:rPr>
          <w:instrText xml:space="preserve"> PAGEREF _Toc445739575 \h </w:instrText>
        </w:r>
        <w:r w:rsidR="001A222F">
          <w:rPr>
            <w:noProof/>
            <w:webHidden/>
          </w:rPr>
        </w:r>
        <w:r w:rsidR="001A222F">
          <w:rPr>
            <w:noProof/>
            <w:webHidden/>
          </w:rPr>
          <w:fldChar w:fldCharType="separate"/>
        </w:r>
        <w:r w:rsidR="001A222F">
          <w:rPr>
            <w:noProof/>
            <w:webHidden/>
          </w:rPr>
          <w:t>16</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6" w:history="1">
        <w:r w:rsidR="001A222F" w:rsidRPr="00FC7B4C">
          <w:rPr>
            <w:rStyle w:val="Hyperlink"/>
            <w:noProof/>
          </w:rPr>
          <w:t>The Compensation Committee Report</w:t>
        </w:r>
        <w:r w:rsidR="001A222F">
          <w:rPr>
            <w:noProof/>
            <w:webHidden/>
          </w:rPr>
          <w:tab/>
        </w:r>
        <w:r w:rsidR="001A222F">
          <w:rPr>
            <w:noProof/>
            <w:webHidden/>
          </w:rPr>
          <w:fldChar w:fldCharType="begin"/>
        </w:r>
        <w:r w:rsidR="001A222F">
          <w:rPr>
            <w:noProof/>
            <w:webHidden/>
          </w:rPr>
          <w:instrText xml:space="preserve"> PAGEREF _Toc445739576 \h </w:instrText>
        </w:r>
        <w:r w:rsidR="001A222F">
          <w:rPr>
            <w:noProof/>
            <w:webHidden/>
          </w:rPr>
        </w:r>
        <w:r w:rsidR="001A222F">
          <w:rPr>
            <w:noProof/>
            <w:webHidden/>
          </w:rPr>
          <w:fldChar w:fldCharType="separate"/>
        </w:r>
        <w:r w:rsidR="001A222F">
          <w:rPr>
            <w:noProof/>
            <w:webHidden/>
          </w:rPr>
          <w:t>16</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7" w:history="1">
        <w:r w:rsidR="001A222F" w:rsidRPr="00FC7B4C">
          <w:rPr>
            <w:rStyle w:val="Hyperlink"/>
            <w:noProof/>
          </w:rPr>
          <w:t>The Corporate Governance &amp; Nominating Committee</w:t>
        </w:r>
        <w:r w:rsidR="001A222F">
          <w:rPr>
            <w:noProof/>
            <w:webHidden/>
          </w:rPr>
          <w:tab/>
        </w:r>
        <w:r w:rsidR="001A222F">
          <w:rPr>
            <w:noProof/>
            <w:webHidden/>
          </w:rPr>
          <w:fldChar w:fldCharType="begin"/>
        </w:r>
        <w:r w:rsidR="001A222F">
          <w:rPr>
            <w:noProof/>
            <w:webHidden/>
          </w:rPr>
          <w:instrText xml:space="preserve"> PAGEREF _Toc445739577 \h </w:instrText>
        </w:r>
        <w:r w:rsidR="001A222F">
          <w:rPr>
            <w:noProof/>
            <w:webHidden/>
          </w:rPr>
        </w:r>
        <w:r w:rsidR="001A222F">
          <w:rPr>
            <w:noProof/>
            <w:webHidden/>
          </w:rPr>
          <w:fldChar w:fldCharType="separate"/>
        </w:r>
        <w:r w:rsidR="001A222F">
          <w:rPr>
            <w:noProof/>
            <w:webHidden/>
          </w:rPr>
          <w:t>16</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78" w:history="1">
        <w:r w:rsidR="001A222F" w:rsidRPr="00FC7B4C">
          <w:rPr>
            <w:rStyle w:val="Hyperlink"/>
            <w:noProof/>
          </w:rPr>
          <w:t>Director Compensation</w:t>
        </w:r>
        <w:r w:rsidR="001A222F">
          <w:rPr>
            <w:noProof/>
            <w:webHidden/>
          </w:rPr>
          <w:tab/>
        </w:r>
        <w:r w:rsidR="001A222F">
          <w:rPr>
            <w:noProof/>
            <w:webHidden/>
          </w:rPr>
          <w:fldChar w:fldCharType="begin"/>
        </w:r>
        <w:r w:rsidR="001A222F">
          <w:rPr>
            <w:noProof/>
            <w:webHidden/>
          </w:rPr>
          <w:instrText xml:space="preserve"> PAGEREF _Toc445739578 \h </w:instrText>
        </w:r>
        <w:r w:rsidR="001A222F">
          <w:rPr>
            <w:noProof/>
            <w:webHidden/>
          </w:rPr>
        </w:r>
        <w:r w:rsidR="001A222F">
          <w:rPr>
            <w:noProof/>
            <w:webHidden/>
          </w:rPr>
          <w:fldChar w:fldCharType="separate"/>
        </w:r>
        <w:r w:rsidR="001A222F">
          <w:rPr>
            <w:noProof/>
            <w:webHidden/>
          </w:rPr>
          <w:t>17</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79" w:history="1">
        <w:r w:rsidR="001A222F" w:rsidRPr="00FC7B4C">
          <w:rPr>
            <w:rStyle w:val="Hyperlink"/>
            <w:noProof/>
          </w:rPr>
          <w:t>STOCK OWNERSHIP INFORMATION</w:t>
        </w:r>
        <w:r w:rsidR="001A222F">
          <w:rPr>
            <w:noProof/>
            <w:webHidden/>
          </w:rPr>
          <w:tab/>
        </w:r>
        <w:r w:rsidR="001A222F">
          <w:rPr>
            <w:noProof/>
            <w:webHidden/>
          </w:rPr>
          <w:fldChar w:fldCharType="begin"/>
        </w:r>
        <w:r w:rsidR="001A222F">
          <w:rPr>
            <w:noProof/>
            <w:webHidden/>
          </w:rPr>
          <w:instrText xml:space="preserve"> PAGEREF _Toc445739579 \h </w:instrText>
        </w:r>
        <w:r w:rsidR="001A222F">
          <w:rPr>
            <w:noProof/>
            <w:webHidden/>
          </w:rPr>
        </w:r>
        <w:r w:rsidR="001A222F">
          <w:rPr>
            <w:noProof/>
            <w:webHidden/>
          </w:rPr>
          <w:fldChar w:fldCharType="separate"/>
        </w:r>
        <w:r w:rsidR="001A222F">
          <w:rPr>
            <w:noProof/>
            <w:webHidden/>
          </w:rPr>
          <w:t>19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80" w:history="1">
        <w:r w:rsidR="001A222F" w:rsidRPr="00FC7B4C">
          <w:rPr>
            <w:rStyle w:val="Hyperlink"/>
            <w:noProof/>
          </w:rPr>
          <w:t>Security Ownership of Certain Beneficial Owners and Management</w:t>
        </w:r>
        <w:r w:rsidR="001A222F">
          <w:rPr>
            <w:noProof/>
            <w:webHidden/>
          </w:rPr>
          <w:tab/>
        </w:r>
        <w:r w:rsidR="001A222F">
          <w:rPr>
            <w:noProof/>
            <w:webHidden/>
          </w:rPr>
          <w:fldChar w:fldCharType="begin"/>
        </w:r>
        <w:r w:rsidR="001A222F">
          <w:rPr>
            <w:noProof/>
            <w:webHidden/>
          </w:rPr>
          <w:instrText xml:space="preserve"> PAGEREF _Toc445739580 \h </w:instrText>
        </w:r>
        <w:r w:rsidR="001A222F">
          <w:rPr>
            <w:noProof/>
            <w:webHidden/>
          </w:rPr>
        </w:r>
        <w:r w:rsidR="001A222F">
          <w:rPr>
            <w:noProof/>
            <w:webHidden/>
          </w:rPr>
          <w:fldChar w:fldCharType="separate"/>
        </w:r>
        <w:r w:rsidR="001A222F">
          <w:rPr>
            <w:noProof/>
            <w:webHidden/>
          </w:rPr>
          <w:t>19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81" w:history="1">
        <w:r w:rsidR="001A222F" w:rsidRPr="00FC7B4C">
          <w:rPr>
            <w:rStyle w:val="Hyperlink"/>
            <w:noProof/>
          </w:rPr>
          <w:t>Section 16(a) Beneficial Ownership Reporting Compliance</w:t>
        </w:r>
        <w:r w:rsidR="001A222F">
          <w:rPr>
            <w:noProof/>
            <w:webHidden/>
          </w:rPr>
          <w:tab/>
        </w:r>
        <w:r w:rsidR="001A222F">
          <w:rPr>
            <w:noProof/>
            <w:webHidden/>
          </w:rPr>
          <w:fldChar w:fldCharType="begin"/>
        </w:r>
        <w:r w:rsidR="001A222F">
          <w:rPr>
            <w:noProof/>
            <w:webHidden/>
          </w:rPr>
          <w:instrText xml:space="preserve"> PAGEREF _Toc445739581 \h </w:instrText>
        </w:r>
        <w:r w:rsidR="001A222F">
          <w:rPr>
            <w:noProof/>
            <w:webHidden/>
          </w:rPr>
        </w:r>
        <w:r w:rsidR="001A222F">
          <w:rPr>
            <w:noProof/>
            <w:webHidden/>
          </w:rPr>
          <w:fldChar w:fldCharType="separate"/>
        </w:r>
        <w:r w:rsidR="001A222F">
          <w:rPr>
            <w:noProof/>
            <w:webHidden/>
          </w:rPr>
          <w:t>21</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582" w:history="1">
        <w:r w:rsidR="001A222F" w:rsidRPr="00FC7B4C">
          <w:rPr>
            <w:rStyle w:val="Hyperlink"/>
            <w:noProof/>
          </w:rPr>
          <w:t>EXECUTIVE COMPENSATION</w:t>
        </w:r>
        <w:r w:rsidR="001A222F">
          <w:rPr>
            <w:noProof/>
            <w:webHidden/>
          </w:rPr>
          <w:tab/>
        </w:r>
        <w:r w:rsidR="001A222F">
          <w:rPr>
            <w:noProof/>
            <w:webHidden/>
          </w:rPr>
          <w:fldChar w:fldCharType="begin"/>
        </w:r>
        <w:r w:rsidR="001A222F">
          <w:rPr>
            <w:noProof/>
            <w:webHidden/>
          </w:rPr>
          <w:instrText xml:space="preserve"> PAGEREF _Toc445739582 \h </w:instrText>
        </w:r>
        <w:r w:rsidR="001A222F">
          <w:rPr>
            <w:noProof/>
            <w:webHidden/>
          </w:rPr>
        </w:r>
        <w:r w:rsidR="001A222F">
          <w:rPr>
            <w:noProof/>
            <w:webHidden/>
          </w:rPr>
          <w:fldChar w:fldCharType="separate"/>
        </w:r>
        <w:r w:rsidR="001A222F">
          <w:rPr>
            <w:noProof/>
            <w:webHidden/>
          </w:rPr>
          <w:t>21</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83" w:history="1">
        <w:r w:rsidR="001A222F" w:rsidRPr="00FC7B4C">
          <w:rPr>
            <w:rStyle w:val="Hyperlink"/>
            <w:noProof/>
          </w:rPr>
          <w:t>The Executive Officers</w:t>
        </w:r>
        <w:r w:rsidR="001A222F">
          <w:rPr>
            <w:noProof/>
            <w:webHidden/>
          </w:rPr>
          <w:tab/>
        </w:r>
        <w:r w:rsidR="001A222F">
          <w:rPr>
            <w:noProof/>
            <w:webHidden/>
          </w:rPr>
          <w:fldChar w:fldCharType="begin"/>
        </w:r>
        <w:r w:rsidR="001A222F">
          <w:rPr>
            <w:noProof/>
            <w:webHidden/>
          </w:rPr>
          <w:instrText xml:space="preserve"> PAGEREF _Toc445739583 \h </w:instrText>
        </w:r>
        <w:r w:rsidR="001A222F">
          <w:rPr>
            <w:noProof/>
            <w:webHidden/>
          </w:rPr>
        </w:r>
        <w:r w:rsidR="001A222F">
          <w:rPr>
            <w:noProof/>
            <w:webHidden/>
          </w:rPr>
          <w:fldChar w:fldCharType="separate"/>
        </w:r>
        <w:r w:rsidR="001A222F">
          <w:rPr>
            <w:noProof/>
            <w:webHidden/>
          </w:rPr>
          <w:t>21</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84" w:history="1">
        <w:r w:rsidR="001A222F" w:rsidRPr="00FC7B4C">
          <w:rPr>
            <w:rStyle w:val="Hyperlink"/>
            <w:noProof/>
          </w:rPr>
          <w:t>Compensation Discussion and Analysis</w:t>
        </w:r>
        <w:r w:rsidR="001A222F">
          <w:rPr>
            <w:noProof/>
            <w:webHidden/>
          </w:rPr>
          <w:tab/>
        </w:r>
        <w:r w:rsidR="001A222F">
          <w:rPr>
            <w:noProof/>
            <w:webHidden/>
          </w:rPr>
          <w:fldChar w:fldCharType="begin"/>
        </w:r>
        <w:r w:rsidR="001A222F">
          <w:rPr>
            <w:noProof/>
            <w:webHidden/>
          </w:rPr>
          <w:instrText xml:space="preserve"> PAGEREF _Toc445739584 \h </w:instrText>
        </w:r>
        <w:r w:rsidR="001A222F">
          <w:rPr>
            <w:noProof/>
            <w:webHidden/>
          </w:rPr>
        </w:r>
        <w:r w:rsidR="001A222F">
          <w:rPr>
            <w:noProof/>
            <w:webHidden/>
          </w:rPr>
          <w:fldChar w:fldCharType="separate"/>
        </w:r>
        <w:r w:rsidR="001A222F">
          <w:rPr>
            <w:noProof/>
            <w:webHidden/>
          </w:rPr>
          <w:t>22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85" w:history="1">
        <w:r w:rsidR="001A222F" w:rsidRPr="00FC7B4C">
          <w:rPr>
            <w:rStyle w:val="Hyperlink"/>
            <w:noProof/>
          </w:rPr>
          <w:t>The objectives of the Company's compensation programs</w:t>
        </w:r>
        <w:r w:rsidR="001A222F">
          <w:rPr>
            <w:noProof/>
            <w:webHidden/>
          </w:rPr>
          <w:tab/>
        </w:r>
        <w:r w:rsidR="001A222F">
          <w:rPr>
            <w:noProof/>
            <w:webHidden/>
          </w:rPr>
          <w:fldChar w:fldCharType="begin"/>
        </w:r>
        <w:r w:rsidR="001A222F">
          <w:rPr>
            <w:noProof/>
            <w:webHidden/>
          </w:rPr>
          <w:instrText xml:space="preserve"> PAGEREF _Toc445739585 \h </w:instrText>
        </w:r>
        <w:r w:rsidR="001A222F">
          <w:rPr>
            <w:noProof/>
            <w:webHidden/>
          </w:rPr>
        </w:r>
        <w:r w:rsidR="001A222F">
          <w:rPr>
            <w:noProof/>
            <w:webHidden/>
          </w:rPr>
          <w:fldChar w:fldCharType="separate"/>
        </w:r>
        <w:r w:rsidR="001A222F">
          <w:rPr>
            <w:noProof/>
            <w:webHidden/>
          </w:rPr>
          <w:t>22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86" w:history="1">
        <w:r w:rsidR="001A222F" w:rsidRPr="00FC7B4C">
          <w:rPr>
            <w:rStyle w:val="Hyperlink"/>
            <w:noProof/>
          </w:rPr>
          <w:t>The elements of the named executive officers' compensation</w:t>
        </w:r>
        <w:r w:rsidR="001A222F">
          <w:rPr>
            <w:noProof/>
            <w:webHidden/>
          </w:rPr>
          <w:tab/>
        </w:r>
        <w:r w:rsidR="001A222F">
          <w:rPr>
            <w:noProof/>
            <w:webHidden/>
          </w:rPr>
          <w:fldChar w:fldCharType="begin"/>
        </w:r>
        <w:r w:rsidR="001A222F">
          <w:rPr>
            <w:noProof/>
            <w:webHidden/>
          </w:rPr>
          <w:instrText xml:space="preserve"> PAGEREF _Toc445739586 \h </w:instrText>
        </w:r>
        <w:r w:rsidR="001A222F">
          <w:rPr>
            <w:noProof/>
            <w:webHidden/>
          </w:rPr>
        </w:r>
        <w:r w:rsidR="001A222F">
          <w:rPr>
            <w:noProof/>
            <w:webHidden/>
          </w:rPr>
          <w:fldChar w:fldCharType="separate"/>
        </w:r>
        <w:r w:rsidR="001A222F">
          <w:rPr>
            <w:noProof/>
            <w:webHidden/>
          </w:rPr>
          <w:t>22</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87" w:history="1">
        <w:r w:rsidR="001A222F" w:rsidRPr="00FC7B4C">
          <w:rPr>
            <w:rStyle w:val="Hyperlink"/>
            <w:noProof/>
          </w:rPr>
          <w:t>How the amounts and compensation formulas were determined</w:t>
        </w:r>
        <w:r w:rsidR="001A222F">
          <w:rPr>
            <w:noProof/>
            <w:webHidden/>
          </w:rPr>
          <w:tab/>
        </w:r>
        <w:r w:rsidR="001A222F">
          <w:rPr>
            <w:noProof/>
            <w:webHidden/>
          </w:rPr>
          <w:fldChar w:fldCharType="begin"/>
        </w:r>
        <w:r w:rsidR="001A222F">
          <w:rPr>
            <w:noProof/>
            <w:webHidden/>
          </w:rPr>
          <w:instrText xml:space="preserve"> PAGEREF _Toc445739587 \h </w:instrText>
        </w:r>
        <w:r w:rsidR="001A222F">
          <w:rPr>
            <w:noProof/>
            <w:webHidden/>
          </w:rPr>
        </w:r>
        <w:r w:rsidR="001A222F">
          <w:rPr>
            <w:noProof/>
            <w:webHidden/>
          </w:rPr>
          <w:fldChar w:fldCharType="separate"/>
        </w:r>
        <w:r w:rsidR="001A222F">
          <w:rPr>
            <w:noProof/>
            <w:webHidden/>
          </w:rPr>
          <w:t>23</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88" w:history="1">
        <w:r w:rsidR="001A222F" w:rsidRPr="00FC7B4C">
          <w:rPr>
            <w:rStyle w:val="Hyperlink"/>
            <w:noProof/>
          </w:rPr>
          <w:t>The results of the most recent stockholder advisory vote</w:t>
        </w:r>
        <w:r w:rsidR="001A222F">
          <w:rPr>
            <w:noProof/>
            <w:webHidden/>
          </w:rPr>
          <w:tab/>
        </w:r>
        <w:r w:rsidR="001A222F">
          <w:rPr>
            <w:noProof/>
            <w:webHidden/>
          </w:rPr>
          <w:fldChar w:fldCharType="begin"/>
        </w:r>
        <w:r w:rsidR="001A222F">
          <w:rPr>
            <w:noProof/>
            <w:webHidden/>
          </w:rPr>
          <w:instrText xml:space="preserve"> PAGEREF _Toc445739588 \h </w:instrText>
        </w:r>
        <w:r w:rsidR="001A222F">
          <w:rPr>
            <w:noProof/>
            <w:webHidden/>
          </w:rPr>
        </w:r>
        <w:r w:rsidR="001A222F">
          <w:rPr>
            <w:noProof/>
            <w:webHidden/>
          </w:rPr>
          <w:fldChar w:fldCharType="separate"/>
        </w:r>
        <w:r w:rsidR="001A222F">
          <w:rPr>
            <w:noProof/>
            <w:webHidden/>
          </w:rPr>
          <w:t>24</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89" w:history="1">
        <w:r w:rsidR="001A222F" w:rsidRPr="00FC7B4C">
          <w:rPr>
            <w:rStyle w:val="Hyperlink"/>
            <w:noProof/>
          </w:rPr>
          <w:t>New incentive compensation arrangements for 2016</w:t>
        </w:r>
        <w:r w:rsidR="001A222F">
          <w:rPr>
            <w:noProof/>
            <w:webHidden/>
          </w:rPr>
          <w:tab/>
        </w:r>
        <w:r w:rsidR="001A222F">
          <w:rPr>
            <w:noProof/>
            <w:webHidden/>
          </w:rPr>
          <w:fldChar w:fldCharType="begin"/>
        </w:r>
        <w:r w:rsidR="001A222F">
          <w:rPr>
            <w:noProof/>
            <w:webHidden/>
          </w:rPr>
          <w:instrText xml:space="preserve"> PAGEREF _Toc445739589 \h </w:instrText>
        </w:r>
        <w:r w:rsidR="001A222F">
          <w:rPr>
            <w:noProof/>
            <w:webHidden/>
          </w:rPr>
        </w:r>
        <w:r w:rsidR="001A222F">
          <w:rPr>
            <w:noProof/>
            <w:webHidden/>
          </w:rPr>
          <w:fldChar w:fldCharType="separate"/>
        </w:r>
        <w:r w:rsidR="001A222F">
          <w:rPr>
            <w:noProof/>
            <w:webHidden/>
          </w:rPr>
          <w:t>24</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0" w:history="1">
        <w:r w:rsidR="001A222F" w:rsidRPr="00FC7B4C">
          <w:rPr>
            <w:rStyle w:val="Hyperlink"/>
            <w:noProof/>
          </w:rPr>
          <w:t>Additional information on executive compensation</w:t>
        </w:r>
        <w:r w:rsidR="001A222F">
          <w:rPr>
            <w:noProof/>
            <w:webHidden/>
          </w:rPr>
          <w:tab/>
        </w:r>
        <w:r w:rsidR="001A222F">
          <w:rPr>
            <w:noProof/>
            <w:webHidden/>
          </w:rPr>
          <w:fldChar w:fldCharType="begin"/>
        </w:r>
        <w:r w:rsidR="001A222F">
          <w:rPr>
            <w:noProof/>
            <w:webHidden/>
          </w:rPr>
          <w:instrText xml:space="preserve"> PAGEREF _Toc445739590 \h </w:instrText>
        </w:r>
        <w:r w:rsidR="001A222F">
          <w:rPr>
            <w:noProof/>
            <w:webHidden/>
          </w:rPr>
        </w:r>
        <w:r w:rsidR="001A222F">
          <w:rPr>
            <w:noProof/>
            <w:webHidden/>
          </w:rPr>
          <w:fldChar w:fldCharType="separate"/>
        </w:r>
        <w:r w:rsidR="001A222F">
          <w:rPr>
            <w:noProof/>
            <w:webHidden/>
          </w:rPr>
          <w:t>25</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91" w:history="1">
        <w:r w:rsidR="001A222F" w:rsidRPr="00FC7B4C">
          <w:rPr>
            <w:rStyle w:val="Hyperlink"/>
            <w:noProof/>
          </w:rPr>
          <w:t>Compensation Policies &amp; Practices — Risk Management</w:t>
        </w:r>
        <w:r w:rsidR="001A222F">
          <w:rPr>
            <w:noProof/>
            <w:webHidden/>
          </w:rPr>
          <w:tab/>
        </w:r>
        <w:r w:rsidR="001A222F">
          <w:rPr>
            <w:noProof/>
            <w:webHidden/>
          </w:rPr>
          <w:fldChar w:fldCharType="begin"/>
        </w:r>
        <w:r w:rsidR="001A222F">
          <w:rPr>
            <w:noProof/>
            <w:webHidden/>
          </w:rPr>
          <w:instrText xml:space="preserve"> PAGEREF _Toc445739591 \h </w:instrText>
        </w:r>
        <w:r w:rsidR="001A222F">
          <w:rPr>
            <w:noProof/>
            <w:webHidden/>
          </w:rPr>
        </w:r>
        <w:r w:rsidR="001A222F">
          <w:rPr>
            <w:noProof/>
            <w:webHidden/>
          </w:rPr>
          <w:fldChar w:fldCharType="separate"/>
        </w:r>
        <w:r w:rsidR="001A222F">
          <w:rPr>
            <w:noProof/>
            <w:webHidden/>
          </w:rPr>
          <w:t>26</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92" w:history="1">
        <w:r w:rsidR="001A222F" w:rsidRPr="00FC7B4C">
          <w:rPr>
            <w:rStyle w:val="Hyperlink"/>
            <w:noProof/>
          </w:rPr>
          <w:t>Employment Agreements of the Named Executive Officers</w:t>
        </w:r>
        <w:r w:rsidR="001A222F">
          <w:rPr>
            <w:noProof/>
            <w:webHidden/>
          </w:rPr>
          <w:tab/>
        </w:r>
        <w:r w:rsidR="001A222F">
          <w:rPr>
            <w:noProof/>
            <w:webHidden/>
          </w:rPr>
          <w:fldChar w:fldCharType="begin"/>
        </w:r>
        <w:r w:rsidR="001A222F">
          <w:rPr>
            <w:noProof/>
            <w:webHidden/>
          </w:rPr>
          <w:instrText xml:space="preserve"> PAGEREF _Toc445739592 \h </w:instrText>
        </w:r>
        <w:r w:rsidR="001A222F">
          <w:rPr>
            <w:noProof/>
            <w:webHidden/>
          </w:rPr>
        </w:r>
        <w:r w:rsidR="001A222F">
          <w:rPr>
            <w:noProof/>
            <w:webHidden/>
          </w:rPr>
          <w:fldChar w:fldCharType="separate"/>
        </w:r>
        <w:r w:rsidR="001A222F">
          <w:rPr>
            <w:noProof/>
            <w:webHidden/>
          </w:rPr>
          <w:t>27</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93" w:history="1">
        <w:r w:rsidR="001A222F" w:rsidRPr="00FC7B4C">
          <w:rPr>
            <w:rStyle w:val="Hyperlink"/>
            <w:noProof/>
          </w:rPr>
          <w:t>Potential Payments upon Termination or Change-in-Control</w:t>
        </w:r>
        <w:r w:rsidR="001A222F">
          <w:rPr>
            <w:noProof/>
            <w:webHidden/>
          </w:rPr>
          <w:tab/>
        </w:r>
        <w:r w:rsidR="001A222F">
          <w:rPr>
            <w:noProof/>
            <w:webHidden/>
          </w:rPr>
          <w:fldChar w:fldCharType="begin"/>
        </w:r>
        <w:r w:rsidR="001A222F">
          <w:rPr>
            <w:noProof/>
            <w:webHidden/>
          </w:rPr>
          <w:instrText xml:space="preserve"> PAGEREF _Toc445739593 \h </w:instrText>
        </w:r>
        <w:r w:rsidR="001A222F">
          <w:rPr>
            <w:noProof/>
            <w:webHidden/>
          </w:rPr>
        </w:r>
        <w:r w:rsidR="001A222F">
          <w:rPr>
            <w:noProof/>
            <w:webHidden/>
          </w:rPr>
          <w:fldChar w:fldCharType="separate"/>
        </w:r>
        <w:r w:rsidR="001A222F">
          <w:rPr>
            <w:noProof/>
            <w:webHidden/>
          </w:rPr>
          <w:t>29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594" w:history="1">
        <w:r w:rsidR="001A222F" w:rsidRPr="00FC7B4C">
          <w:rPr>
            <w:rStyle w:val="Hyperlink"/>
            <w:noProof/>
          </w:rPr>
          <w:t>Compensation &amp; Stock Tables.</w:t>
        </w:r>
        <w:r w:rsidR="001A222F">
          <w:rPr>
            <w:noProof/>
            <w:webHidden/>
          </w:rPr>
          <w:tab/>
        </w:r>
        <w:r w:rsidR="001A222F">
          <w:rPr>
            <w:noProof/>
            <w:webHidden/>
          </w:rPr>
          <w:fldChar w:fldCharType="begin"/>
        </w:r>
        <w:r w:rsidR="001A222F">
          <w:rPr>
            <w:noProof/>
            <w:webHidden/>
          </w:rPr>
          <w:instrText xml:space="preserve"> PAGEREF _Toc445739594 \h </w:instrText>
        </w:r>
        <w:r w:rsidR="001A222F">
          <w:rPr>
            <w:noProof/>
            <w:webHidden/>
          </w:rPr>
        </w:r>
        <w:r w:rsidR="001A222F">
          <w:rPr>
            <w:noProof/>
            <w:webHidden/>
          </w:rPr>
          <w:fldChar w:fldCharType="separate"/>
        </w:r>
        <w:r w:rsidR="001A222F">
          <w:rPr>
            <w:noProof/>
            <w:webHidden/>
          </w:rPr>
          <w:t>31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5" w:history="1">
        <w:r w:rsidR="001A222F" w:rsidRPr="00FC7B4C">
          <w:rPr>
            <w:rStyle w:val="Hyperlink"/>
            <w:noProof/>
          </w:rPr>
          <w:t>Summary Compensation Table for 2015</w:t>
        </w:r>
        <w:r w:rsidR="001A222F">
          <w:rPr>
            <w:noProof/>
            <w:webHidden/>
          </w:rPr>
          <w:tab/>
        </w:r>
        <w:r w:rsidR="001A222F">
          <w:rPr>
            <w:noProof/>
            <w:webHidden/>
          </w:rPr>
          <w:fldChar w:fldCharType="begin"/>
        </w:r>
        <w:r w:rsidR="001A222F">
          <w:rPr>
            <w:noProof/>
            <w:webHidden/>
          </w:rPr>
          <w:instrText xml:space="preserve"> PAGEREF _Toc445739595 \h </w:instrText>
        </w:r>
        <w:r w:rsidR="001A222F">
          <w:rPr>
            <w:noProof/>
            <w:webHidden/>
          </w:rPr>
        </w:r>
        <w:r w:rsidR="001A222F">
          <w:rPr>
            <w:noProof/>
            <w:webHidden/>
          </w:rPr>
          <w:fldChar w:fldCharType="separate"/>
        </w:r>
        <w:r w:rsidR="001A222F">
          <w:rPr>
            <w:noProof/>
            <w:webHidden/>
          </w:rPr>
          <w:t>31</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6" w:history="1">
        <w:r w:rsidR="001A222F" w:rsidRPr="00FC7B4C">
          <w:rPr>
            <w:rStyle w:val="Hyperlink"/>
            <w:noProof/>
          </w:rPr>
          <w:t>Grants of Plan-Based Awards in 2015</w:t>
        </w:r>
        <w:r w:rsidR="001A222F">
          <w:rPr>
            <w:noProof/>
            <w:webHidden/>
          </w:rPr>
          <w:tab/>
        </w:r>
        <w:r w:rsidR="001A222F">
          <w:rPr>
            <w:noProof/>
            <w:webHidden/>
          </w:rPr>
          <w:fldChar w:fldCharType="begin"/>
        </w:r>
        <w:r w:rsidR="001A222F">
          <w:rPr>
            <w:noProof/>
            <w:webHidden/>
          </w:rPr>
          <w:instrText xml:space="preserve"> PAGEREF _Toc445739596 \h </w:instrText>
        </w:r>
        <w:r w:rsidR="001A222F">
          <w:rPr>
            <w:noProof/>
            <w:webHidden/>
          </w:rPr>
        </w:r>
        <w:r w:rsidR="001A222F">
          <w:rPr>
            <w:noProof/>
            <w:webHidden/>
          </w:rPr>
          <w:fldChar w:fldCharType="separate"/>
        </w:r>
        <w:r w:rsidR="001A222F">
          <w:rPr>
            <w:noProof/>
            <w:webHidden/>
          </w:rPr>
          <w:t>33</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7" w:history="1">
        <w:r w:rsidR="001A222F" w:rsidRPr="00FC7B4C">
          <w:rPr>
            <w:rStyle w:val="Hyperlink"/>
            <w:noProof/>
          </w:rPr>
          <w:t>Option Exercises and Stock Vested for 2015</w:t>
        </w:r>
        <w:r w:rsidR="001A222F">
          <w:rPr>
            <w:noProof/>
            <w:webHidden/>
          </w:rPr>
          <w:tab/>
        </w:r>
        <w:r w:rsidR="001A222F">
          <w:rPr>
            <w:noProof/>
            <w:webHidden/>
          </w:rPr>
          <w:fldChar w:fldCharType="begin"/>
        </w:r>
        <w:r w:rsidR="001A222F">
          <w:rPr>
            <w:noProof/>
            <w:webHidden/>
          </w:rPr>
          <w:instrText xml:space="preserve"> PAGEREF _Toc445739597 \h </w:instrText>
        </w:r>
        <w:r w:rsidR="001A222F">
          <w:rPr>
            <w:noProof/>
            <w:webHidden/>
          </w:rPr>
        </w:r>
        <w:r w:rsidR="001A222F">
          <w:rPr>
            <w:noProof/>
            <w:webHidden/>
          </w:rPr>
          <w:fldChar w:fldCharType="separate"/>
        </w:r>
        <w:r w:rsidR="001A222F">
          <w:rPr>
            <w:noProof/>
            <w:webHidden/>
          </w:rPr>
          <w:t>35</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8" w:history="1">
        <w:r w:rsidR="001A222F" w:rsidRPr="00FC7B4C">
          <w:rPr>
            <w:rStyle w:val="Hyperlink"/>
            <w:noProof/>
          </w:rPr>
          <w:t>Outstanding Equity Awards at December 31, 2015</w:t>
        </w:r>
        <w:r w:rsidR="001A222F">
          <w:rPr>
            <w:noProof/>
            <w:webHidden/>
          </w:rPr>
          <w:tab/>
        </w:r>
        <w:r w:rsidR="001A222F">
          <w:rPr>
            <w:noProof/>
            <w:webHidden/>
          </w:rPr>
          <w:fldChar w:fldCharType="begin"/>
        </w:r>
        <w:r w:rsidR="001A222F">
          <w:rPr>
            <w:noProof/>
            <w:webHidden/>
          </w:rPr>
          <w:instrText xml:space="preserve"> PAGEREF _Toc445739598 \h </w:instrText>
        </w:r>
        <w:r w:rsidR="001A222F">
          <w:rPr>
            <w:noProof/>
            <w:webHidden/>
          </w:rPr>
        </w:r>
        <w:r w:rsidR="001A222F">
          <w:rPr>
            <w:noProof/>
            <w:webHidden/>
          </w:rPr>
          <w:fldChar w:fldCharType="separate"/>
        </w:r>
        <w:r w:rsidR="001A222F">
          <w:rPr>
            <w:noProof/>
            <w:webHidden/>
          </w:rPr>
          <w:t>35</w:t>
        </w:r>
        <w:r w:rsidR="001A222F">
          <w:rPr>
            <w:noProof/>
            <w:webHidden/>
          </w:rPr>
          <w:fldChar w:fldCharType="end"/>
        </w:r>
      </w:hyperlink>
    </w:p>
    <w:p w:rsidR="001A222F" w:rsidRDefault="003A711E">
      <w:pPr>
        <w:pStyle w:val="TOC3"/>
        <w:rPr>
          <w:rFonts w:asciiTheme="minorHAnsi" w:eastAsiaTheme="minorEastAsia" w:hAnsiTheme="minorHAnsi" w:cstheme="minorBidi"/>
          <w:i w:val="0"/>
          <w:noProof/>
          <w:snapToGrid/>
          <w:sz w:val="22"/>
          <w:szCs w:val="22"/>
        </w:rPr>
      </w:pPr>
      <w:hyperlink w:anchor="_Toc445739599" w:history="1">
        <w:r w:rsidR="001A222F" w:rsidRPr="00FC7B4C">
          <w:rPr>
            <w:rStyle w:val="Hyperlink"/>
            <w:noProof/>
          </w:rPr>
          <w:t>Equity Compensation Plan Information</w:t>
        </w:r>
        <w:r w:rsidR="001A222F">
          <w:rPr>
            <w:noProof/>
            <w:webHidden/>
          </w:rPr>
          <w:tab/>
        </w:r>
        <w:r w:rsidR="001A222F">
          <w:rPr>
            <w:noProof/>
            <w:webHidden/>
          </w:rPr>
          <w:fldChar w:fldCharType="begin"/>
        </w:r>
        <w:r w:rsidR="001A222F">
          <w:rPr>
            <w:noProof/>
            <w:webHidden/>
          </w:rPr>
          <w:instrText xml:space="preserve"> PAGEREF _Toc445739599 \h </w:instrText>
        </w:r>
        <w:r w:rsidR="001A222F">
          <w:rPr>
            <w:noProof/>
            <w:webHidden/>
          </w:rPr>
        </w:r>
        <w:r w:rsidR="001A222F">
          <w:rPr>
            <w:noProof/>
            <w:webHidden/>
          </w:rPr>
          <w:fldChar w:fldCharType="separate"/>
        </w:r>
        <w:r w:rsidR="001A222F">
          <w:rPr>
            <w:noProof/>
            <w:webHidden/>
          </w:rPr>
          <w:t>36</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600" w:history="1">
        <w:r w:rsidR="001A222F" w:rsidRPr="00FC7B4C">
          <w:rPr>
            <w:rStyle w:val="Hyperlink"/>
            <w:noProof/>
          </w:rPr>
          <w:t>PERFORMANCE GRAPH</w:t>
        </w:r>
        <w:r w:rsidR="001A222F">
          <w:rPr>
            <w:noProof/>
            <w:webHidden/>
          </w:rPr>
          <w:tab/>
        </w:r>
        <w:r w:rsidR="001A222F">
          <w:rPr>
            <w:noProof/>
            <w:webHidden/>
          </w:rPr>
          <w:fldChar w:fldCharType="begin"/>
        </w:r>
        <w:r w:rsidR="001A222F">
          <w:rPr>
            <w:noProof/>
            <w:webHidden/>
          </w:rPr>
          <w:instrText xml:space="preserve"> PAGEREF _Toc445739600 \h </w:instrText>
        </w:r>
        <w:r w:rsidR="001A222F">
          <w:rPr>
            <w:noProof/>
            <w:webHidden/>
          </w:rPr>
        </w:r>
        <w:r w:rsidR="001A222F">
          <w:rPr>
            <w:noProof/>
            <w:webHidden/>
          </w:rPr>
          <w:fldChar w:fldCharType="separate"/>
        </w:r>
        <w:r w:rsidR="001A222F">
          <w:rPr>
            <w:noProof/>
            <w:webHidden/>
          </w:rPr>
          <w:t>37</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601" w:history="1">
        <w:r w:rsidR="001A222F" w:rsidRPr="00FC7B4C">
          <w:rPr>
            <w:rStyle w:val="Hyperlink"/>
            <w:noProof/>
          </w:rPr>
          <w:t>TRANSACTIONS WITH RELATED PERSONS</w:t>
        </w:r>
        <w:r w:rsidR="001A222F">
          <w:rPr>
            <w:noProof/>
            <w:webHidden/>
          </w:rPr>
          <w:tab/>
        </w:r>
        <w:r w:rsidR="001A222F">
          <w:rPr>
            <w:noProof/>
            <w:webHidden/>
          </w:rPr>
          <w:fldChar w:fldCharType="begin"/>
        </w:r>
        <w:r w:rsidR="001A222F">
          <w:rPr>
            <w:noProof/>
            <w:webHidden/>
          </w:rPr>
          <w:instrText xml:space="preserve"> PAGEREF _Toc445739601 \h </w:instrText>
        </w:r>
        <w:r w:rsidR="001A222F">
          <w:rPr>
            <w:noProof/>
            <w:webHidden/>
          </w:rPr>
        </w:r>
        <w:r w:rsidR="001A222F">
          <w:rPr>
            <w:noProof/>
            <w:webHidden/>
          </w:rPr>
          <w:fldChar w:fldCharType="separate"/>
        </w:r>
        <w:r w:rsidR="001A222F">
          <w:rPr>
            <w:noProof/>
            <w:webHidden/>
          </w:rPr>
          <w:t>38</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602" w:history="1">
        <w:r w:rsidR="001A222F" w:rsidRPr="00FC7B4C">
          <w:rPr>
            <w:rStyle w:val="Hyperlink"/>
            <w:noProof/>
          </w:rPr>
          <w:t>INFORMATION ABOUT AUDIT FEES &amp; AUDIT SERVICES</w:t>
        </w:r>
        <w:r w:rsidR="001A222F">
          <w:rPr>
            <w:noProof/>
            <w:webHidden/>
          </w:rPr>
          <w:tab/>
        </w:r>
        <w:r w:rsidR="001A222F">
          <w:rPr>
            <w:noProof/>
            <w:webHidden/>
          </w:rPr>
          <w:fldChar w:fldCharType="begin"/>
        </w:r>
        <w:r w:rsidR="001A222F">
          <w:rPr>
            <w:noProof/>
            <w:webHidden/>
          </w:rPr>
          <w:instrText xml:space="preserve"> PAGEREF _Toc445739602 \h </w:instrText>
        </w:r>
        <w:r w:rsidR="001A222F">
          <w:rPr>
            <w:noProof/>
            <w:webHidden/>
          </w:rPr>
        </w:r>
        <w:r w:rsidR="001A222F">
          <w:rPr>
            <w:noProof/>
            <w:webHidden/>
          </w:rPr>
          <w:fldChar w:fldCharType="separate"/>
        </w:r>
        <w:r w:rsidR="001A222F">
          <w:rPr>
            <w:noProof/>
            <w:webHidden/>
          </w:rPr>
          <w:t>39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603" w:history="1">
        <w:r w:rsidR="001A222F" w:rsidRPr="00FC7B4C">
          <w:rPr>
            <w:rStyle w:val="Hyperlink"/>
            <w:noProof/>
          </w:rPr>
          <w:t>Audit Fees</w:t>
        </w:r>
        <w:r w:rsidR="001A222F">
          <w:rPr>
            <w:noProof/>
            <w:webHidden/>
          </w:rPr>
          <w:tab/>
        </w:r>
        <w:r w:rsidR="001A222F">
          <w:rPr>
            <w:noProof/>
            <w:webHidden/>
          </w:rPr>
          <w:fldChar w:fldCharType="begin"/>
        </w:r>
        <w:r w:rsidR="001A222F">
          <w:rPr>
            <w:noProof/>
            <w:webHidden/>
          </w:rPr>
          <w:instrText xml:space="preserve"> PAGEREF _Toc445739603 \h </w:instrText>
        </w:r>
        <w:r w:rsidR="001A222F">
          <w:rPr>
            <w:noProof/>
            <w:webHidden/>
          </w:rPr>
        </w:r>
        <w:r w:rsidR="001A222F">
          <w:rPr>
            <w:noProof/>
            <w:webHidden/>
          </w:rPr>
          <w:fldChar w:fldCharType="separate"/>
        </w:r>
        <w:r w:rsidR="001A222F">
          <w:rPr>
            <w:noProof/>
            <w:webHidden/>
          </w:rPr>
          <w:t>39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604" w:history="1">
        <w:r w:rsidR="001A222F" w:rsidRPr="00FC7B4C">
          <w:rPr>
            <w:rStyle w:val="Hyperlink"/>
            <w:noProof/>
          </w:rPr>
          <w:t>Audit-Related Fees</w:t>
        </w:r>
        <w:r w:rsidR="001A222F">
          <w:rPr>
            <w:noProof/>
            <w:webHidden/>
          </w:rPr>
          <w:tab/>
        </w:r>
        <w:r w:rsidR="001A222F">
          <w:rPr>
            <w:noProof/>
            <w:webHidden/>
          </w:rPr>
          <w:fldChar w:fldCharType="begin"/>
        </w:r>
        <w:r w:rsidR="001A222F">
          <w:rPr>
            <w:noProof/>
            <w:webHidden/>
          </w:rPr>
          <w:instrText xml:space="preserve"> PAGEREF _Toc445739604 \h </w:instrText>
        </w:r>
        <w:r w:rsidR="001A222F">
          <w:rPr>
            <w:noProof/>
            <w:webHidden/>
          </w:rPr>
        </w:r>
        <w:r w:rsidR="001A222F">
          <w:rPr>
            <w:noProof/>
            <w:webHidden/>
          </w:rPr>
          <w:fldChar w:fldCharType="separate"/>
        </w:r>
        <w:r w:rsidR="001A222F">
          <w:rPr>
            <w:noProof/>
            <w:webHidden/>
          </w:rPr>
          <w:t>39</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605" w:history="1">
        <w:r w:rsidR="001A222F" w:rsidRPr="00FC7B4C">
          <w:rPr>
            <w:rStyle w:val="Hyperlink"/>
            <w:noProof/>
          </w:rPr>
          <w:t>Tax Fees</w:t>
        </w:r>
        <w:r w:rsidR="001A222F">
          <w:rPr>
            <w:noProof/>
            <w:webHidden/>
          </w:rPr>
          <w:tab/>
        </w:r>
        <w:r w:rsidR="001A222F">
          <w:rPr>
            <w:noProof/>
            <w:webHidden/>
          </w:rPr>
          <w:fldChar w:fldCharType="begin"/>
        </w:r>
        <w:r w:rsidR="001A222F">
          <w:rPr>
            <w:noProof/>
            <w:webHidden/>
          </w:rPr>
          <w:instrText xml:space="preserve"> PAGEREF _Toc445739605 \h </w:instrText>
        </w:r>
        <w:r w:rsidR="001A222F">
          <w:rPr>
            <w:noProof/>
            <w:webHidden/>
          </w:rPr>
        </w:r>
        <w:r w:rsidR="001A222F">
          <w:rPr>
            <w:noProof/>
            <w:webHidden/>
          </w:rPr>
          <w:fldChar w:fldCharType="separate"/>
        </w:r>
        <w:r w:rsidR="001A222F">
          <w:rPr>
            <w:noProof/>
            <w:webHidden/>
          </w:rPr>
          <w:t>40</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606" w:history="1">
        <w:r w:rsidR="001A222F" w:rsidRPr="00FC7B4C">
          <w:rPr>
            <w:rStyle w:val="Hyperlink"/>
            <w:noProof/>
          </w:rPr>
          <w:t>All Other Fees (Non-Audit Fees)</w:t>
        </w:r>
        <w:r w:rsidR="001A222F">
          <w:rPr>
            <w:noProof/>
            <w:webHidden/>
          </w:rPr>
          <w:tab/>
        </w:r>
        <w:r w:rsidR="001A222F">
          <w:rPr>
            <w:noProof/>
            <w:webHidden/>
          </w:rPr>
          <w:fldChar w:fldCharType="begin"/>
        </w:r>
        <w:r w:rsidR="001A222F">
          <w:rPr>
            <w:noProof/>
            <w:webHidden/>
          </w:rPr>
          <w:instrText xml:space="preserve"> PAGEREF _Toc445739606 \h </w:instrText>
        </w:r>
        <w:r w:rsidR="001A222F">
          <w:rPr>
            <w:noProof/>
            <w:webHidden/>
          </w:rPr>
        </w:r>
        <w:r w:rsidR="001A222F">
          <w:rPr>
            <w:noProof/>
            <w:webHidden/>
          </w:rPr>
          <w:fldChar w:fldCharType="separate"/>
        </w:r>
        <w:r w:rsidR="001A222F">
          <w:rPr>
            <w:noProof/>
            <w:webHidden/>
          </w:rPr>
          <w:t>40</w:t>
        </w:r>
        <w:r w:rsidR="001A222F">
          <w:rPr>
            <w:noProof/>
            <w:webHidden/>
          </w:rPr>
          <w:fldChar w:fldCharType="end"/>
        </w:r>
      </w:hyperlink>
    </w:p>
    <w:p w:rsidR="001A222F" w:rsidRDefault="003A711E">
      <w:pPr>
        <w:pStyle w:val="TOC2"/>
        <w:tabs>
          <w:tab w:val="right" w:pos="9350"/>
        </w:tabs>
        <w:rPr>
          <w:rFonts w:asciiTheme="minorHAnsi" w:eastAsiaTheme="minorEastAsia" w:hAnsiTheme="minorHAnsi" w:cstheme="minorBidi"/>
          <w:noProof/>
          <w:snapToGrid/>
          <w:sz w:val="22"/>
          <w:szCs w:val="22"/>
        </w:rPr>
      </w:pPr>
      <w:hyperlink w:anchor="_Toc445739607" w:history="1">
        <w:r w:rsidR="001A222F" w:rsidRPr="00FC7B4C">
          <w:rPr>
            <w:rStyle w:val="Hyperlink"/>
            <w:noProof/>
          </w:rPr>
          <w:t>Procedures for Approval of Services</w:t>
        </w:r>
        <w:r w:rsidR="001A222F">
          <w:rPr>
            <w:noProof/>
            <w:webHidden/>
          </w:rPr>
          <w:tab/>
        </w:r>
        <w:r w:rsidR="001A222F">
          <w:rPr>
            <w:noProof/>
            <w:webHidden/>
          </w:rPr>
          <w:fldChar w:fldCharType="begin"/>
        </w:r>
        <w:r w:rsidR="001A222F">
          <w:rPr>
            <w:noProof/>
            <w:webHidden/>
          </w:rPr>
          <w:instrText xml:space="preserve"> PAGEREF _Toc445739607 \h </w:instrText>
        </w:r>
        <w:r w:rsidR="001A222F">
          <w:rPr>
            <w:noProof/>
            <w:webHidden/>
          </w:rPr>
        </w:r>
        <w:r w:rsidR="001A222F">
          <w:rPr>
            <w:noProof/>
            <w:webHidden/>
          </w:rPr>
          <w:fldChar w:fldCharType="separate"/>
        </w:r>
        <w:r w:rsidR="001A222F">
          <w:rPr>
            <w:noProof/>
            <w:webHidden/>
          </w:rPr>
          <w:t>40</w:t>
        </w:r>
        <w:r w:rsidR="001A222F">
          <w:rPr>
            <w:noProof/>
            <w:webHidden/>
          </w:rPr>
          <w:fldChar w:fldCharType="end"/>
        </w:r>
      </w:hyperlink>
    </w:p>
    <w:p w:rsidR="001A222F" w:rsidRDefault="003A711E">
      <w:pPr>
        <w:pStyle w:val="TOC1"/>
        <w:rPr>
          <w:rFonts w:asciiTheme="minorHAnsi" w:eastAsiaTheme="minorEastAsia" w:hAnsiTheme="minorHAnsi" w:cstheme="minorBidi"/>
          <w:b w:val="0"/>
          <w:smallCaps w:val="0"/>
          <w:noProof/>
          <w:snapToGrid/>
          <w:sz w:val="22"/>
          <w:szCs w:val="22"/>
        </w:rPr>
      </w:pPr>
      <w:hyperlink w:anchor="_Toc445739608" w:history="1">
        <w:r w:rsidR="001A222F" w:rsidRPr="00FC7B4C">
          <w:rPr>
            <w:rStyle w:val="Hyperlink"/>
            <w:noProof/>
          </w:rPr>
          <w:t>SUBMISSION OF STOCKHOLDER PROPOSALS</w:t>
        </w:r>
        <w:r w:rsidR="001A222F">
          <w:rPr>
            <w:noProof/>
            <w:webHidden/>
          </w:rPr>
          <w:tab/>
        </w:r>
        <w:r w:rsidR="001A222F">
          <w:rPr>
            <w:noProof/>
            <w:webHidden/>
          </w:rPr>
          <w:fldChar w:fldCharType="begin"/>
        </w:r>
        <w:r w:rsidR="001A222F">
          <w:rPr>
            <w:noProof/>
            <w:webHidden/>
          </w:rPr>
          <w:instrText xml:space="preserve"> PAGEREF _Toc445739608 \h </w:instrText>
        </w:r>
        <w:r w:rsidR="001A222F">
          <w:rPr>
            <w:noProof/>
            <w:webHidden/>
          </w:rPr>
        </w:r>
        <w:r w:rsidR="001A222F">
          <w:rPr>
            <w:noProof/>
            <w:webHidden/>
          </w:rPr>
          <w:fldChar w:fldCharType="separate"/>
        </w:r>
        <w:r w:rsidR="001A222F">
          <w:rPr>
            <w:noProof/>
            <w:webHidden/>
          </w:rPr>
          <w:t>40</w:t>
        </w:r>
        <w:r w:rsidR="001A222F">
          <w:rPr>
            <w:noProof/>
            <w:webHidden/>
          </w:rPr>
          <w:fldChar w:fldCharType="end"/>
        </w:r>
      </w:hyperlink>
    </w:p>
    <w:p w:rsidR="00F300A8" w:rsidRDefault="00850C8A" w:rsidP="00850C8A">
      <w:pPr>
        <w:widowControl/>
        <w:spacing w:after="0"/>
        <w:jc w:val="center"/>
        <w:rPr>
          <w:b/>
          <w:smallCaps/>
        </w:rPr>
      </w:pPr>
      <w:r>
        <w:rPr>
          <w:b/>
          <w:smallCaps/>
        </w:rPr>
        <w:fldChar w:fldCharType="end"/>
      </w:r>
      <w:r>
        <w:rPr>
          <w:b/>
          <w:smallCaps/>
        </w:rPr>
        <w:t>_____________</w:t>
      </w:r>
    </w:p>
    <w:p w:rsidR="00F300A8" w:rsidRDefault="00F300A8" w:rsidP="00850C8A">
      <w:pPr>
        <w:widowControl/>
        <w:spacing w:after="0"/>
        <w:jc w:val="center"/>
        <w:rPr>
          <w:b/>
          <w:smallCaps/>
        </w:rPr>
      </w:pPr>
    </w:p>
    <w:p w:rsidR="003F4A3C" w:rsidRDefault="003F4A3C">
      <w:pPr>
        <w:widowControl/>
        <w:spacing w:after="0"/>
        <w:jc w:val="left"/>
        <w:rPr>
          <w:b/>
          <w:smallCaps/>
        </w:rPr>
      </w:pPr>
    </w:p>
    <w:p w:rsidR="003F4A3C" w:rsidRDefault="003F4A3C">
      <w:pPr>
        <w:widowControl/>
        <w:spacing w:after="0"/>
        <w:jc w:val="left"/>
        <w:rPr>
          <w:b/>
          <w:smallCaps/>
        </w:rPr>
        <w:sectPr w:rsidR="003F4A3C" w:rsidSect="001474CC">
          <w:footerReference w:type="default" r:id="rId11"/>
          <w:pgSz w:w="12240" w:h="15840" w:code="1"/>
          <w:pgMar w:top="1440" w:right="1440" w:bottom="1440" w:left="1440" w:header="0" w:footer="720" w:gutter="0"/>
          <w:pgNumType w:fmt="lowerRoman" w:start="1"/>
          <w:cols w:space="720"/>
          <w:docGrid w:linePitch="360"/>
        </w:sectPr>
      </w:pPr>
    </w:p>
    <w:tbl>
      <w:tblPr>
        <w:tblStyle w:val="TableGrid"/>
        <w:tblW w:w="0" w:type="auto"/>
        <w:tblLayout w:type="fixed"/>
        <w:tblCellMar>
          <w:top w:w="360" w:type="dxa"/>
          <w:left w:w="360" w:type="dxa"/>
          <w:bottom w:w="360" w:type="dxa"/>
          <w:right w:w="360" w:type="dxa"/>
        </w:tblCellMar>
        <w:tblLook w:val="04A0" w:firstRow="1" w:lastRow="0" w:firstColumn="1" w:lastColumn="0" w:noHBand="0" w:noVBand="1"/>
      </w:tblPr>
      <w:tblGrid>
        <w:gridCol w:w="9896"/>
      </w:tblGrid>
      <w:tr w:rsidR="001606E1" w:rsidTr="00535F07">
        <w:tc>
          <w:tcPr>
            <w:tcW w:w="9896" w:type="dxa"/>
            <w:tcBorders>
              <w:top w:val="nil"/>
              <w:left w:val="nil"/>
              <w:bottom w:val="double" w:sz="4" w:space="0" w:color="auto"/>
              <w:right w:val="nil"/>
            </w:tcBorders>
            <w:tcMar>
              <w:top w:w="0" w:type="dxa"/>
              <w:left w:w="360" w:type="dxa"/>
              <w:bottom w:w="144" w:type="dxa"/>
              <w:right w:w="360" w:type="dxa"/>
            </w:tcMar>
          </w:tcPr>
          <w:p w:rsidR="001606E1" w:rsidRPr="00B564DA" w:rsidRDefault="001606E1" w:rsidP="00B501D4">
            <w:pPr>
              <w:pStyle w:val="001Proxy"/>
              <w:jc w:val="center"/>
            </w:pPr>
            <w:bookmarkStart w:id="1" w:name="_Toc405545414"/>
            <w:bookmarkStart w:id="2" w:name="_Toc445739537"/>
            <w:r w:rsidRPr="00B564DA">
              <w:lastRenderedPageBreak/>
              <w:t>SUMMARY OF THE PROXY STATEMENT</w:t>
            </w:r>
            <w:bookmarkEnd w:id="1"/>
            <w:bookmarkEnd w:id="2"/>
          </w:p>
          <w:p w:rsidR="001606E1" w:rsidRDefault="004970C2" w:rsidP="00326BC9">
            <w:r>
              <w:t>A summary</w:t>
            </w:r>
            <w:r w:rsidR="001606E1">
              <w:t xml:space="preserve"> of some of the </w:t>
            </w:r>
            <w:r w:rsidR="001606E1" w:rsidRPr="005F530C">
              <w:t xml:space="preserve">information </w:t>
            </w:r>
            <w:r w:rsidR="001606E1">
              <w:t xml:space="preserve">contained in this Proxy Statement for the </w:t>
            </w:r>
            <w:r w:rsidR="001606E1" w:rsidRPr="005F530C">
              <w:t>201</w:t>
            </w:r>
            <w:r>
              <w:t>6</w:t>
            </w:r>
            <w:r w:rsidR="001606E1" w:rsidRPr="005F530C">
              <w:t xml:space="preserve"> </w:t>
            </w:r>
            <w:r w:rsidR="001606E1">
              <w:t xml:space="preserve">Annual Meeting of Stockholders </w:t>
            </w:r>
            <w:r>
              <w:t>is</w:t>
            </w:r>
            <w:r w:rsidR="001606E1">
              <w:t xml:space="preserve"> set forth on the following </w:t>
            </w:r>
            <w:r w:rsidR="00326BC9" w:rsidRPr="005F0E14">
              <w:t>four</w:t>
            </w:r>
            <w:r w:rsidR="001606E1">
              <w:t xml:space="preserve"> pages.  </w:t>
            </w:r>
            <w:r>
              <w:t>Each</w:t>
            </w:r>
            <w:r w:rsidR="001606E1" w:rsidRPr="005F530C">
              <w:t xml:space="preserve"> </w:t>
            </w:r>
            <w:r w:rsidR="001606E1">
              <w:t xml:space="preserve">summary does not contain all the information that a stockholder should consider before voting.  The entire Proxy Statement should be read before doing so.  The Company's </w:t>
            </w:r>
            <w:r w:rsidR="00326BC9">
              <w:t xml:space="preserve">2015 </w:t>
            </w:r>
            <w:r w:rsidR="001606E1">
              <w:t>Annual Report is its</w:t>
            </w:r>
            <w:r w:rsidR="003C461D">
              <w:t xml:space="preserve"> </w:t>
            </w:r>
            <w:r w:rsidR="005F2D20">
              <w:t xml:space="preserve">Annual Report on </w:t>
            </w:r>
            <w:r w:rsidR="001606E1">
              <w:t>Form 10-K</w:t>
            </w:r>
            <w:r>
              <w:t xml:space="preserve"> </w:t>
            </w:r>
            <w:r w:rsidR="00E81F20">
              <w:t>for the year ended December 31, 201</w:t>
            </w:r>
            <w:r>
              <w:t>5</w:t>
            </w:r>
            <w:r w:rsidR="00E81F20">
              <w:t>, which has been filed with the Securities and Exchange Commission</w:t>
            </w:r>
            <w:r w:rsidR="001606E1">
              <w:t xml:space="preserve">.  </w:t>
            </w:r>
          </w:p>
        </w:tc>
      </w:tr>
      <w:tr w:rsidR="001606E1" w:rsidTr="00535F07">
        <w:tc>
          <w:tcPr>
            <w:tcW w:w="9896" w:type="dxa"/>
            <w:tcBorders>
              <w:top w:val="double" w:sz="4" w:space="0" w:color="auto"/>
              <w:left w:val="double" w:sz="4" w:space="0" w:color="auto"/>
              <w:bottom w:val="double" w:sz="4" w:space="0" w:color="auto"/>
              <w:right w:val="double" w:sz="4" w:space="0" w:color="auto"/>
            </w:tcBorders>
            <w:tcMar>
              <w:top w:w="180" w:type="dxa"/>
            </w:tcMar>
          </w:tcPr>
          <w:p w:rsidR="001606E1" w:rsidRPr="00B564DA" w:rsidRDefault="001606E1" w:rsidP="00B501D4">
            <w:pPr>
              <w:pStyle w:val="002Proxy"/>
              <w:jc w:val="center"/>
              <w:rPr>
                <w:smallCaps/>
              </w:rPr>
            </w:pPr>
            <w:bookmarkStart w:id="3" w:name="_Toc405545415"/>
            <w:bookmarkStart w:id="4" w:name="_Toc445739538"/>
            <w:r w:rsidRPr="00B564DA">
              <w:rPr>
                <w:smallCaps/>
              </w:rPr>
              <w:t>Matters to be Voted on at the Meeting</w:t>
            </w:r>
            <w:bookmarkEnd w:id="3"/>
            <w:bookmarkEnd w:id="4"/>
          </w:p>
          <w:p w:rsidR="001606E1" w:rsidRPr="00E17B53" w:rsidRDefault="001606E1" w:rsidP="00B501D4">
            <w:pPr>
              <w:tabs>
                <w:tab w:val="left" w:pos="1350"/>
              </w:tabs>
              <w:spacing w:after="240"/>
              <w:ind w:left="1354" w:hanging="1354"/>
              <w:jc w:val="left"/>
              <w:rPr>
                <w:i/>
              </w:rPr>
            </w:pPr>
            <w:r w:rsidRPr="00C867E5">
              <w:rPr>
                <w:b/>
                <w:i/>
              </w:rPr>
              <w:t>Proposal #1</w:t>
            </w:r>
            <w:r w:rsidRPr="00AB7F71">
              <w:rPr>
                <w:i/>
              </w:rPr>
              <w:t>:</w:t>
            </w:r>
            <w:r w:rsidRPr="00E17B53">
              <w:tab/>
              <w:t>The e</w:t>
            </w:r>
            <w:r>
              <w:t xml:space="preserve">lection of </w:t>
            </w:r>
            <w:r w:rsidR="004970C2">
              <w:t>five</w:t>
            </w:r>
            <w:r>
              <w:t xml:space="preserve"> Directors for one-year terms.  Th</w:t>
            </w:r>
            <w:r w:rsidR="003C461D">
              <w:t>e</w:t>
            </w:r>
            <w:r>
              <w:t xml:space="preserve"> table </w:t>
            </w:r>
            <w:r w:rsidR="003C461D">
              <w:t xml:space="preserve">below </w:t>
            </w:r>
            <w:r>
              <w:t xml:space="preserve">contains </w:t>
            </w:r>
            <w:r w:rsidRPr="00545169">
              <w:t>a</w:t>
            </w:r>
            <w:r>
              <w:t xml:space="preserve"> summary </w:t>
            </w:r>
            <w:r w:rsidRPr="00545169">
              <w:t xml:space="preserve">of </w:t>
            </w:r>
            <w:r>
              <w:t xml:space="preserve">some of </w:t>
            </w:r>
            <w:r w:rsidR="004970C2">
              <w:t xml:space="preserve">the </w:t>
            </w:r>
            <w:r>
              <w:t>information</w:t>
            </w:r>
            <w:r w:rsidR="004970C2">
              <w:t xml:space="preserve"> about the </w:t>
            </w:r>
            <w:r w:rsidR="00256B6F">
              <w:t>nominees for director</w:t>
            </w:r>
            <w:r>
              <w:t xml:space="preserve">.  More detailed information can be found below under the heading </w:t>
            </w:r>
            <w:r>
              <w:rPr>
                <w:i/>
              </w:rPr>
              <w:t>Election of Directors</w:t>
            </w:r>
            <w:r w:rsidR="004970C2">
              <w:rPr>
                <w:i/>
              </w:rPr>
              <w:t xml:space="preserve"> (Proposal</w:t>
            </w:r>
            <w:r w:rsidR="00385EC6">
              <w:rPr>
                <w:i/>
              </w:rPr>
              <w:t> </w:t>
            </w:r>
            <w:r w:rsidR="004970C2">
              <w:rPr>
                <w:i/>
              </w:rPr>
              <w:t>1)</w:t>
            </w:r>
            <w:r>
              <w:rPr>
                <w:i/>
              </w:rPr>
              <w:t xml:space="preserve"> </w:t>
            </w:r>
            <w:r w:rsidRPr="00E17B53">
              <w:t xml:space="preserve">at Page </w:t>
            </w:r>
            <w:r w:rsidR="00D93578" w:rsidRPr="00047B5D">
              <w:t>4</w:t>
            </w:r>
            <w:r w:rsidR="00D93578">
              <w:t>.</w:t>
            </w:r>
          </w:p>
          <w:tbl>
            <w:tblPr>
              <w:tblStyle w:val="TableGrid"/>
              <w:tblW w:w="97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142"/>
              <w:gridCol w:w="550"/>
              <w:gridCol w:w="2960"/>
              <w:gridCol w:w="2183"/>
              <w:gridCol w:w="942"/>
            </w:tblGrid>
            <w:tr w:rsidR="001606E1" w:rsidRPr="006A76FA" w:rsidTr="00EC66C7">
              <w:trPr>
                <w:jc w:val="center"/>
              </w:trPr>
              <w:tc>
                <w:tcPr>
                  <w:tcW w:w="194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Nominee</w:t>
                  </w:r>
                  <w:r w:rsidR="003C461D">
                    <w:rPr>
                      <w:b/>
                      <w:sz w:val="20"/>
                    </w:rPr>
                    <w:t>s</w:t>
                  </w:r>
                </w:p>
              </w:tc>
              <w:tc>
                <w:tcPr>
                  <w:tcW w:w="114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Current Position</w:t>
                  </w:r>
                </w:p>
              </w:tc>
              <w:tc>
                <w:tcPr>
                  <w:tcW w:w="550"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Age</w:t>
                  </w:r>
                </w:p>
              </w:tc>
              <w:tc>
                <w:tcPr>
                  <w:tcW w:w="2960"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Occupation</w:t>
                  </w:r>
                </w:p>
              </w:tc>
              <w:tc>
                <w:tcPr>
                  <w:tcW w:w="2183"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Board Committee</w:t>
                  </w:r>
                </w:p>
              </w:tc>
              <w:tc>
                <w:tcPr>
                  <w:tcW w:w="942" w:type="dxa"/>
                  <w:tcBorders>
                    <w:bottom w:val="single" w:sz="4" w:space="0" w:color="auto"/>
                  </w:tcBorders>
                  <w:vAlign w:val="bottom"/>
                </w:tcPr>
                <w:p w:rsidR="001606E1" w:rsidRPr="00606AD4" w:rsidRDefault="001606E1" w:rsidP="00EC66C7">
                  <w:pPr>
                    <w:spacing w:after="0"/>
                    <w:jc w:val="center"/>
                    <w:rPr>
                      <w:b/>
                      <w:sz w:val="20"/>
                    </w:rPr>
                  </w:pPr>
                  <w:r w:rsidRPr="00606AD4">
                    <w:rPr>
                      <w:b/>
                      <w:sz w:val="20"/>
                    </w:rPr>
                    <w:t>Director Since</w:t>
                  </w:r>
                </w:p>
              </w:tc>
            </w:tr>
            <w:tr w:rsidR="00256B6F" w:rsidRPr="00B543CF" w:rsidTr="00EC66C7">
              <w:trPr>
                <w:jc w:val="center"/>
              </w:trPr>
              <w:tc>
                <w:tcPr>
                  <w:tcW w:w="1942" w:type="dxa"/>
                  <w:tcBorders>
                    <w:top w:val="single" w:sz="4" w:space="0" w:color="auto"/>
                  </w:tcBorders>
                  <w:shd w:val="clear" w:color="auto" w:fill="C6D9F1" w:themeFill="text2" w:themeFillTint="33"/>
                  <w:tcMar>
                    <w:top w:w="58" w:type="dxa"/>
                    <w:left w:w="115" w:type="dxa"/>
                    <w:bottom w:w="58" w:type="dxa"/>
                    <w:right w:w="115" w:type="dxa"/>
                  </w:tcMar>
                </w:tcPr>
                <w:p w:rsidR="00256B6F" w:rsidRPr="005C36E3" w:rsidRDefault="00256B6F" w:rsidP="00B501D4">
                  <w:pPr>
                    <w:spacing w:after="0"/>
                    <w:jc w:val="left"/>
                    <w:rPr>
                      <w:sz w:val="20"/>
                    </w:rPr>
                  </w:pPr>
                  <w:r>
                    <w:rPr>
                      <w:sz w:val="20"/>
                    </w:rPr>
                    <w:t>Maarten D. Hemsley</w:t>
                  </w:r>
                </w:p>
              </w:tc>
              <w:tc>
                <w:tcPr>
                  <w:tcW w:w="1142" w:type="dxa"/>
                  <w:tcBorders>
                    <w:top w:val="single" w:sz="4" w:space="0" w:color="auto"/>
                  </w:tcBorders>
                  <w:shd w:val="clear" w:color="auto" w:fill="C6D9F1" w:themeFill="text2" w:themeFillTint="33"/>
                  <w:tcMar>
                    <w:top w:w="58" w:type="dxa"/>
                    <w:left w:w="115" w:type="dxa"/>
                    <w:bottom w:w="58" w:type="dxa"/>
                    <w:right w:w="115" w:type="dxa"/>
                  </w:tcMar>
                </w:tcPr>
                <w:p w:rsidR="00256B6F" w:rsidRPr="005C36E3" w:rsidRDefault="00256B6F" w:rsidP="00B501D4">
                  <w:pPr>
                    <w:spacing w:after="0"/>
                    <w:jc w:val="center"/>
                    <w:rPr>
                      <w:sz w:val="20"/>
                    </w:rPr>
                  </w:pPr>
                  <w:r>
                    <w:rPr>
                      <w:sz w:val="20"/>
                    </w:rPr>
                    <w:t>Director</w:t>
                  </w:r>
                </w:p>
              </w:tc>
              <w:tc>
                <w:tcPr>
                  <w:tcW w:w="550" w:type="dxa"/>
                  <w:tcBorders>
                    <w:top w:val="single" w:sz="4" w:space="0" w:color="auto"/>
                  </w:tcBorders>
                  <w:shd w:val="clear" w:color="auto" w:fill="C6D9F1" w:themeFill="text2" w:themeFillTint="33"/>
                  <w:tcMar>
                    <w:top w:w="58" w:type="dxa"/>
                    <w:left w:w="115" w:type="dxa"/>
                    <w:bottom w:w="58" w:type="dxa"/>
                    <w:right w:w="115" w:type="dxa"/>
                  </w:tcMar>
                </w:tcPr>
                <w:p w:rsidR="00256B6F" w:rsidRPr="005C36E3" w:rsidRDefault="00256B6F" w:rsidP="00B501D4">
                  <w:pPr>
                    <w:spacing w:after="0"/>
                    <w:jc w:val="center"/>
                    <w:rPr>
                      <w:sz w:val="20"/>
                    </w:rPr>
                  </w:pPr>
                  <w:r>
                    <w:rPr>
                      <w:sz w:val="20"/>
                    </w:rPr>
                    <w:t>66</w:t>
                  </w:r>
                </w:p>
              </w:tc>
              <w:tc>
                <w:tcPr>
                  <w:tcW w:w="2960" w:type="dxa"/>
                  <w:tcBorders>
                    <w:top w:val="single" w:sz="4" w:space="0" w:color="auto"/>
                  </w:tcBorders>
                  <w:shd w:val="clear" w:color="auto" w:fill="C6D9F1" w:themeFill="text2" w:themeFillTint="33"/>
                  <w:tcMar>
                    <w:top w:w="58" w:type="dxa"/>
                    <w:bottom w:w="58" w:type="dxa"/>
                  </w:tcMar>
                  <w:vAlign w:val="bottom"/>
                </w:tcPr>
                <w:p w:rsidR="00256B6F" w:rsidRPr="005C36E3" w:rsidRDefault="00256B6F" w:rsidP="00B501D4">
                  <w:pPr>
                    <w:spacing w:after="0"/>
                    <w:jc w:val="left"/>
                    <w:rPr>
                      <w:sz w:val="20"/>
                    </w:rPr>
                  </w:pPr>
                  <w:r w:rsidRPr="00256B6F">
                    <w:rPr>
                      <w:sz w:val="20"/>
                    </w:rPr>
                    <w:t>Founder, Chairman and President of New England Center for Arts &amp; Technology, Inc.</w:t>
                  </w:r>
                </w:p>
              </w:tc>
              <w:tc>
                <w:tcPr>
                  <w:tcW w:w="2183" w:type="dxa"/>
                  <w:tcBorders>
                    <w:top w:val="single" w:sz="4" w:space="0" w:color="auto"/>
                  </w:tcBorders>
                  <w:shd w:val="clear" w:color="auto" w:fill="C6D9F1" w:themeFill="text2" w:themeFillTint="33"/>
                  <w:tcMar>
                    <w:top w:w="58" w:type="dxa"/>
                    <w:bottom w:w="58" w:type="dxa"/>
                  </w:tcMar>
                </w:tcPr>
                <w:p w:rsidR="00256B6F" w:rsidRDefault="00256B6F" w:rsidP="00B501D4">
                  <w:pPr>
                    <w:spacing w:after="0"/>
                    <w:jc w:val="center"/>
                    <w:rPr>
                      <w:sz w:val="20"/>
                    </w:rPr>
                  </w:pPr>
                  <w:r>
                    <w:rPr>
                      <w:sz w:val="20"/>
                    </w:rPr>
                    <w:t>Audit</w:t>
                  </w:r>
                </w:p>
                <w:p w:rsidR="00256B6F" w:rsidRPr="005C36E3" w:rsidRDefault="00256B6F" w:rsidP="00B501D4">
                  <w:pPr>
                    <w:spacing w:after="0"/>
                    <w:jc w:val="center"/>
                    <w:rPr>
                      <w:sz w:val="20"/>
                    </w:rPr>
                  </w:pPr>
                  <w:r>
                    <w:rPr>
                      <w:sz w:val="20"/>
                    </w:rPr>
                    <w:t>Corporate Governance</w:t>
                  </w:r>
                </w:p>
              </w:tc>
              <w:tc>
                <w:tcPr>
                  <w:tcW w:w="942" w:type="dxa"/>
                  <w:tcBorders>
                    <w:top w:val="single" w:sz="4" w:space="0" w:color="auto"/>
                  </w:tcBorders>
                  <w:shd w:val="clear" w:color="auto" w:fill="C6D9F1" w:themeFill="text2" w:themeFillTint="33"/>
                  <w:tcMar>
                    <w:top w:w="58" w:type="dxa"/>
                    <w:left w:w="115" w:type="dxa"/>
                    <w:bottom w:w="58" w:type="dxa"/>
                    <w:right w:w="115" w:type="dxa"/>
                  </w:tcMar>
                </w:tcPr>
                <w:p w:rsidR="00256B6F" w:rsidRPr="005C36E3" w:rsidRDefault="00256B6F" w:rsidP="00B501D4">
                  <w:pPr>
                    <w:spacing w:after="0"/>
                    <w:jc w:val="center"/>
                    <w:rPr>
                      <w:sz w:val="20"/>
                    </w:rPr>
                  </w:pPr>
                  <w:r>
                    <w:rPr>
                      <w:sz w:val="20"/>
                    </w:rPr>
                    <w:t>1998</w:t>
                  </w:r>
                </w:p>
              </w:tc>
            </w:tr>
            <w:tr w:rsidR="00256B6F" w:rsidRPr="00B543CF" w:rsidTr="00EC66C7">
              <w:trPr>
                <w:jc w:val="center"/>
              </w:trPr>
              <w:tc>
                <w:tcPr>
                  <w:tcW w:w="1942" w:type="dxa"/>
                  <w:shd w:val="clear" w:color="auto" w:fill="FFFFFF" w:themeFill="background1"/>
                  <w:tcMar>
                    <w:top w:w="58" w:type="dxa"/>
                    <w:left w:w="115" w:type="dxa"/>
                    <w:bottom w:w="58" w:type="dxa"/>
                    <w:right w:w="115" w:type="dxa"/>
                  </w:tcMar>
                </w:tcPr>
                <w:p w:rsidR="00256B6F" w:rsidRPr="005C36E3" w:rsidRDefault="00256B6F" w:rsidP="00B501D4">
                  <w:pPr>
                    <w:spacing w:after="0"/>
                    <w:jc w:val="left"/>
                    <w:rPr>
                      <w:sz w:val="20"/>
                    </w:rPr>
                  </w:pPr>
                  <w:r>
                    <w:rPr>
                      <w:sz w:val="20"/>
                    </w:rPr>
                    <w:t>Charles R. Patton</w:t>
                  </w:r>
                </w:p>
              </w:tc>
              <w:tc>
                <w:tcPr>
                  <w:tcW w:w="11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Director</w:t>
                  </w:r>
                </w:p>
              </w:tc>
              <w:tc>
                <w:tcPr>
                  <w:tcW w:w="550"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56</w:t>
                  </w:r>
                </w:p>
              </w:tc>
              <w:tc>
                <w:tcPr>
                  <w:tcW w:w="2960" w:type="dxa"/>
                  <w:shd w:val="clear" w:color="auto" w:fill="FFFFFF" w:themeFill="background1"/>
                  <w:tcMar>
                    <w:top w:w="58" w:type="dxa"/>
                    <w:bottom w:w="58" w:type="dxa"/>
                  </w:tcMar>
                  <w:vAlign w:val="bottom"/>
                </w:tcPr>
                <w:p w:rsidR="00256B6F" w:rsidRPr="005C36E3" w:rsidRDefault="00256B6F" w:rsidP="00B501D4">
                  <w:pPr>
                    <w:spacing w:after="0"/>
                    <w:jc w:val="left"/>
                    <w:rPr>
                      <w:sz w:val="20"/>
                    </w:rPr>
                  </w:pPr>
                  <w:r w:rsidRPr="00256B6F">
                    <w:rPr>
                      <w:sz w:val="20"/>
                    </w:rPr>
                    <w:t>President &amp; Chief Operating Officer of Appalachian Power Company</w:t>
                  </w:r>
                </w:p>
              </w:tc>
              <w:tc>
                <w:tcPr>
                  <w:tcW w:w="2183" w:type="dxa"/>
                  <w:shd w:val="clear" w:color="auto" w:fill="FFFFFF" w:themeFill="background1"/>
                  <w:tcMar>
                    <w:top w:w="58" w:type="dxa"/>
                    <w:bottom w:w="58" w:type="dxa"/>
                  </w:tcMar>
                </w:tcPr>
                <w:p w:rsidR="00256B6F" w:rsidRPr="005C36E3" w:rsidRDefault="00256B6F" w:rsidP="00B501D4">
                  <w:pPr>
                    <w:spacing w:after="0"/>
                    <w:jc w:val="center"/>
                    <w:rPr>
                      <w:sz w:val="20"/>
                    </w:rPr>
                  </w:pPr>
                  <w:r>
                    <w:rPr>
                      <w:sz w:val="20"/>
                    </w:rPr>
                    <w:t>Compensation</w:t>
                  </w:r>
                </w:p>
              </w:tc>
              <w:tc>
                <w:tcPr>
                  <w:tcW w:w="942" w:type="dxa"/>
                  <w:shd w:val="clear" w:color="auto" w:fill="FFFFFF" w:themeFill="background1"/>
                  <w:tcMar>
                    <w:top w:w="58" w:type="dxa"/>
                    <w:left w:w="115" w:type="dxa"/>
                    <w:bottom w:w="58" w:type="dxa"/>
                    <w:right w:w="115" w:type="dxa"/>
                  </w:tcMar>
                </w:tcPr>
                <w:p w:rsidR="00256B6F" w:rsidRPr="005C36E3" w:rsidRDefault="00256B6F" w:rsidP="00B501D4">
                  <w:pPr>
                    <w:spacing w:after="0"/>
                    <w:jc w:val="center"/>
                    <w:rPr>
                      <w:sz w:val="20"/>
                    </w:rPr>
                  </w:pPr>
                  <w:r>
                    <w:rPr>
                      <w:sz w:val="20"/>
                    </w:rPr>
                    <w:t>2013</w:t>
                  </w:r>
                </w:p>
              </w:tc>
            </w:tr>
            <w:tr w:rsidR="001606E1" w:rsidRPr="00B543CF" w:rsidTr="00EC66C7">
              <w:trPr>
                <w:jc w:val="center"/>
              </w:trPr>
              <w:tc>
                <w:tcPr>
                  <w:tcW w:w="1942" w:type="dxa"/>
                  <w:shd w:val="clear" w:color="auto" w:fill="C6D9F1" w:themeFill="text2" w:themeFillTint="33"/>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Richard O. Schaum</w:t>
                  </w:r>
                </w:p>
              </w:tc>
              <w:tc>
                <w:tcPr>
                  <w:tcW w:w="1142" w:type="dxa"/>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Director</w:t>
                  </w:r>
                </w:p>
              </w:tc>
              <w:tc>
                <w:tcPr>
                  <w:tcW w:w="550" w:type="dxa"/>
                  <w:shd w:val="clear" w:color="auto" w:fill="C6D9F1" w:themeFill="text2" w:themeFillTint="33"/>
                  <w:tcMar>
                    <w:top w:w="58" w:type="dxa"/>
                    <w:left w:w="115" w:type="dxa"/>
                    <w:bottom w:w="58" w:type="dxa"/>
                    <w:right w:w="115" w:type="dxa"/>
                  </w:tcMar>
                </w:tcPr>
                <w:p w:rsidR="001606E1" w:rsidRPr="005C36E3" w:rsidRDefault="00256B6F" w:rsidP="00B501D4">
                  <w:pPr>
                    <w:spacing w:after="0"/>
                    <w:jc w:val="center"/>
                    <w:rPr>
                      <w:sz w:val="20"/>
                    </w:rPr>
                  </w:pPr>
                  <w:r>
                    <w:rPr>
                      <w:sz w:val="20"/>
                    </w:rPr>
                    <w:t>69</w:t>
                  </w:r>
                </w:p>
              </w:tc>
              <w:tc>
                <w:tcPr>
                  <w:tcW w:w="2960" w:type="dxa"/>
                  <w:shd w:val="clear" w:color="auto" w:fill="C6D9F1" w:themeFill="text2" w:themeFillTint="33"/>
                  <w:tcMar>
                    <w:top w:w="58" w:type="dxa"/>
                    <w:bottom w:w="58" w:type="dxa"/>
                  </w:tcMar>
                  <w:vAlign w:val="bottom"/>
                </w:tcPr>
                <w:p w:rsidR="001606E1" w:rsidRPr="005C36E3" w:rsidRDefault="001606E1" w:rsidP="00B501D4">
                  <w:pPr>
                    <w:spacing w:after="0"/>
                    <w:jc w:val="left"/>
                    <w:rPr>
                      <w:sz w:val="20"/>
                    </w:rPr>
                  </w:pPr>
                  <w:r w:rsidRPr="005C36E3">
                    <w:rPr>
                      <w:sz w:val="20"/>
                    </w:rPr>
                    <w:t>General Manager, 3rd Horizon Associates LLC</w:t>
                  </w:r>
                </w:p>
              </w:tc>
              <w:tc>
                <w:tcPr>
                  <w:tcW w:w="2183" w:type="dxa"/>
                  <w:shd w:val="clear" w:color="auto" w:fill="C6D9F1" w:themeFill="text2" w:themeFillTint="33"/>
                  <w:tcMar>
                    <w:top w:w="58" w:type="dxa"/>
                    <w:bottom w:w="58" w:type="dxa"/>
                  </w:tcMar>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Compensation</w:t>
                  </w:r>
                </w:p>
              </w:tc>
              <w:tc>
                <w:tcPr>
                  <w:tcW w:w="942" w:type="dxa"/>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2010</w:t>
                  </w:r>
                </w:p>
              </w:tc>
            </w:tr>
            <w:tr w:rsidR="001606E1" w:rsidRPr="00B543CF" w:rsidTr="00326BC9">
              <w:trPr>
                <w:jc w:val="center"/>
              </w:trPr>
              <w:tc>
                <w:tcPr>
                  <w:tcW w:w="1942" w:type="dxa"/>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Milton L. Scott</w:t>
                  </w:r>
                </w:p>
              </w:tc>
              <w:tc>
                <w:tcPr>
                  <w:tcW w:w="1142" w:type="dxa"/>
                  <w:tcMar>
                    <w:top w:w="58" w:type="dxa"/>
                    <w:left w:w="115" w:type="dxa"/>
                    <w:bottom w:w="58" w:type="dxa"/>
                    <w:right w:w="115" w:type="dxa"/>
                  </w:tcMar>
                </w:tcPr>
                <w:p w:rsidR="00326BC9" w:rsidRDefault="00326BC9" w:rsidP="00B501D4">
                  <w:pPr>
                    <w:spacing w:after="0"/>
                    <w:jc w:val="center"/>
                    <w:rPr>
                      <w:sz w:val="20"/>
                    </w:rPr>
                  </w:pPr>
                  <w:r>
                    <w:rPr>
                      <w:sz w:val="20"/>
                    </w:rPr>
                    <w:t>Director</w:t>
                  </w:r>
                </w:p>
                <w:p w:rsidR="001606E1" w:rsidRPr="005C36E3" w:rsidRDefault="00256B6F" w:rsidP="00EC66C7">
                  <w:pPr>
                    <w:spacing w:after="0"/>
                    <w:jc w:val="center"/>
                    <w:rPr>
                      <w:sz w:val="20"/>
                    </w:rPr>
                  </w:pPr>
                  <w:r>
                    <w:rPr>
                      <w:sz w:val="20"/>
                    </w:rPr>
                    <w:t>Chairman</w:t>
                  </w:r>
                </w:p>
              </w:tc>
              <w:tc>
                <w:tcPr>
                  <w:tcW w:w="550" w:type="dxa"/>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5</w:t>
                  </w:r>
                  <w:r w:rsidR="00256B6F">
                    <w:rPr>
                      <w:sz w:val="20"/>
                    </w:rPr>
                    <w:t>9</w:t>
                  </w:r>
                </w:p>
              </w:tc>
              <w:tc>
                <w:tcPr>
                  <w:tcW w:w="2960" w:type="dxa"/>
                </w:tcPr>
                <w:p w:rsidR="001606E1" w:rsidRPr="005C36E3" w:rsidRDefault="001606E1" w:rsidP="00EC66C7">
                  <w:pPr>
                    <w:spacing w:after="0"/>
                    <w:jc w:val="left"/>
                    <w:rPr>
                      <w:sz w:val="20"/>
                    </w:rPr>
                  </w:pPr>
                  <w:r w:rsidRPr="005C36E3">
                    <w:rPr>
                      <w:sz w:val="20"/>
                    </w:rPr>
                    <w:t>Chairman and Chief Executive Officer of the Tagos Group, LLC</w:t>
                  </w:r>
                </w:p>
              </w:tc>
              <w:tc>
                <w:tcPr>
                  <w:tcW w:w="2183" w:type="dxa"/>
                </w:tcPr>
                <w:p w:rsidR="001606E1" w:rsidRPr="005C36E3" w:rsidRDefault="001606E1" w:rsidP="00B501D4">
                  <w:pPr>
                    <w:spacing w:after="0"/>
                    <w:jc w:val="center"/>
                    <w:rPr>
                      <w:sz w:val="20"/>
                    </w:rPr>
                  </w:pPr>
                  <w:r w:rsidRPr="005C36E3">
                    <w:rPr>
                      <w:sz w:val="20"/>
                    </w:rPr>
                    <w:t>Audit</w:t>
                  </w:r>
                </w:p>
                <w:p w:rsidR="001606E1" w:rsidRPr="005C36E3" w:rsidRDefault="001606E1" w:rsidP="00B501D4">
                  <w:pPr>
                    <w:spacing w:after="0"/>
                    <w:jc w:val="center"/>
                    <w:rPr>
                      <w:sz w:val="20"/>
                    </w:rPr>
                  </w:pPr>
                  <w:r w:rsidRPr="005C36E3">
                    <w:rPr>
                      <w:sz w:val="20"/>
                    </w:rPr>
                    <w:t>Corporate Governance</w:t>
                  </w:r>
                </w:p>
              </w:tc>
              <w:tc>
                <w:tcPr>
                  <w:tcW w:w="942" w:type="dxa"/>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2005</w:t>
                  </w:r>
                </w:p>
              </w:tc>
            </w:tr>
            <w:tr w:rsidR="001606E1" w:rsidRPr="00B543CF" w:rsidTr="00326BC9">
              <w:trPr>
                <w:jc w:val="center"/>
              </w:trPr>
              <w:tc>
                <w:tcPr>
                  <w:tcW w:w="1942"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left"/>
                    <w:rPr>
                      <w:sz w:val="20"/>
                    </w:rPr>
                  </w:pPr>
                  <w:r w:rsidRPr="005C36E3">
                    <w:rPr>
                      <w:sz w:val="20"/>
                    </w:rPr>
                    <w:t>Paul J. Varello</w:t>
                  </w:r>
                </w:p>
              </w:tc>
              <w:tc>
                <w:tcPr>
                  <w:tcW w:w="1142" w:type="dxa"/>
                  <w:tcBorders>
                    <w:bottom w:val="single" w:sz="4" w:space="0" w:color="auto"/>
                  </w:tcBorders>
                  <w:shd w:val="clear" w:color="auto" w:fill="C6D9F1" w:themeFill="text2" w:themeFillTint="33"/>
                  <w:tcMar>
                    <w:top w:w="58" w:type="dxa"/>
                    <w:left w:w="115" w:type="dxa"/>
                    <w:bottom w:w="58" w:type="dxa"/>
                    <w:right w:w="115" w:type="dxa"/>
                  </w:tcMar>
                </w:tcPr>
                <w:p w:rsidR="00256B6F" w:rsidRPr="005C36E3" w:rsidRDefault="001606E1" w:rsidP="00256B6F">
                  <w:pPr>
                    <w:spacing w:after="40"/>
                    <w:jc w:val="center"/>
                    <w:rPr>
                      <w:sz w:val="20"/>
                    </w:rPr>
                  </w:pPr>
                  <w:r w:rsidRPr="005C36E3">
                    <w:rPr>
                      <w:sz w:val="20"/>
                    </w:rPr>
                    <w:t>Directo</w:t>
                  </w:r>
                  <w:r w:rsidR="008A2C83" w:rsidRPr="005C36E3">
                    <w:rPr>
                      <w:sz w:val="20"/>
                    </w:rPr>
                    <w:t>r</w:t>
                  </w:r>
                </w:p>
              </w:tc>
              <w:tc>
                <w:tcPr>
                  <w:tcW w:w="550"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256B6F">
                  <w:pPr>
                    <w:spacing w:after="0"/>
                    <w:jc w:val="center"/>
                    <w:rPr>
                      <w:sz w:val="20"/>
                    </w:rPr>
                  </w:pPr>
                  <w:r w:rsidRPr="005C36E3">
                    <w:rPr>
                      <w:sz w:val="20"/>
                    </w:rPr>
                    <w:t>7</w:t>
                  </w:r>
                  <w:r w:rsidR="00256B6F">
                    <w:rPr>
                      <w:sz w:val="20"/>
                    </w:rPr>
                    <w:t>2</w:t>
                  </w:r>
                </w:p>
              </w:tc>
              <w:tc>
                <w:tcPr>
                  <w:tcW w:w="2960" w:type="dxa"/>
                  <w:tcBorders>
                    <w:bottom w:val="single" w:sz="4" w:space="0" w:color="auto"/>
                  </w:tcBorders>
                  <w:shd w:val="clear" w:color="auto" w:fill="C6D9F1" w:themeFill="text2" w:themeFillTint="33"/>
                  <w:tcMar>
                    <w:bottom w:w="58" w:type="dxa"/>
                  </w:tcMar>
                </w:tcPr>
                <w:p w:rsidR="0083481C" w:rsidRPr="005C36E3" w:rsidRDefault="008A2C83" w:rsidP="008A2C83">
                  <w:pPr>
                    <w:spacing w:after="40"/>
                    <w:jc w:val="left"/>
                    <w:rPr>
                      <w:sz w:val="20"/>
                    </w:rPr>
                  </w:pPr>
                  <w:r w:rsidRPr="005C36E3">
                    <w:rPr>
                      <w:sz w:val="20"/>
                    </w:rPr>
                    <w:t>Chief Executive Officer</w:t>
                  </w:r>
                  <w:r w:rsidR="00256B6F">
                    <w:rPr>
                      <w:sz w:val="20"/>
                    </w:rPr>
                    <w:t xml:space="preserve"> of the Company</w:t>
                  </w:r>
                </w:p>
              </w:tc>
              <w:tc>
                <w:tcPr>
                  <w:tcW w:w="2183" w:type="dxa"/>
                  <w:tcBorders>
                    <w:bottom w:val="single" w:sz="4" w:space="0" w:color="auto"/>
                  </w:tcBorders>
                  <w:shd w:val="clear" w:color="auto" w:fill="C6D9F1" w:themeFill="text2" w:themeFillTint="33"/>
                  <w:tcMar>
                    <w:bottom w:w="58" w:type="dxa"/>
                  </w:tcMar>
                </w:tcPr>
                <w:p w:rsidR="001606E1" w:rsidRPr="005C36E3" w:rsidRDefault="00535F07" w:rsidP="00B501D4">
                  <w:pPr>
                    <w:spacing w:after="0"/>
                    <w:jc w:val="center"/>
                    <w:rPr>
                      <w:sz w:val="20"/>
                    </w:rPr>
                  </w:pPr>
                  <w:r>
                    <w:rPr>
                      <w:sz w:val="20"/>
                    </w:rPr>
                    <w:t>N/A</w:t>
                  </w:r>
                </w:p>
              </w:tc>
              <w:tc>
                <w:tcPr>
                  <w:tcW w:w="942" w:type="dxa"/>
                  <w:tcBorders>
                    <w:bottom w:val="single" w:sz="4" w:space="0" w:color="auto"/>
                  </w:tcBorders>
                  <w:shd w:val="clear" w:color="auto" w:fill="C6D9F1" w:themeFill="text2" w:themeFillTint="33"/>
                  <w:tcMar>
                    <w:top w:w="58" w:type="dxa"/>
                    <w:left w:w="115" w:type="dxa"/>
                    <w:bottom w:w="58" w:type="dxa"/>
                    <w:right w:w="115" w:type="dxa"/>
                  </w:tcMar>
                </w:tcPr>
                <w:p w:rsidR="001606E1" w:rsidRPr="005C36E3" w:rsidRDefault="001606E1" w:rsidP="00B501D4">
                  <w:pPr>
                    <w:spacing w:after="0"/>
                    <w:jc w:val="center"/>
                    <w:rPr>
                      <w:sz w:val="20"/>
                    </w:rPr>
                  </w:pPr>
                  <w:r w:rsidRPr="005C36E3">
                    <w:rPr>
                      <w:sz w:val="20"/>
                    </w:rPr>
                    <w:t>2014</w:t>
                  </w:r>
                </w:p>
              </w:tc>
            </w:tr>
          </w:tbl>
          <w:p w:rsidR="001606E1" w:rsidRPr="006179F0" w:rsidRDefault="006D4D75" w:rsidP="00B501D4">
            <w:pPr>
              <w:tabs>
                <w:tab w:val="left" w:pos="1350"/>
              </w:tabs>
              <w:spacing w:before="240" w:after="240"/>
              <w:ind w:left="1354" w:hanging="1354"/>
              <w:jc w:val="left"/>
            </w:pPr>
            <w:r>
              <w:rPr>
                <w:b/>
                <w:i/>
              </w:rPr>
              <w:t>Proposal #</w:t>
            </w:r>
            <w:r w:rsidR="00256B6F">
              <w:rPr>
                <w:b/>
                <w:i/>
              </w:rPr>
              <w:t>2</w:t>
            </w:r>
            <w:r w:rsidR="001606E1" w:rsidRPr="00F734F4">
              <w:rPr>
                <w:b/>
                <w:i/>
              </w:rPr>
              <w:t>:</w:t>
            </w:r>
            <w:r w:rsidR="001606E1">
              <w:tab/>
              <w:t xml:space="preserve">Ratification of </w:t>
            </w:r>
            <w:r w:rsidR="001606E1" w:rsidRPr="00740098">
              <w:t>the selection of Grant Thornton LLP</w:t>
            </w:r>
            <w:r w:rsidR="001606E1">
              <w:t xml:space="preserve"> as the Company's </w:t>
            </w:r>
            <w:r w:rsidR="001606E1" w:rsidRPr="00420D1E">
              <w:t>independent registered public accounting firm</w:t>
            </w:r>
            <w:r w:rsidR="001606E1">
              <w:t xml:space="preserve"> for 201</w:t>
            </w:r>
            <w:r w:rsidR="00DA5489">
              <w:t>6</w:t>
            </w:r>
            <w:r w:rsidR="001606E1">
              <w:t xml:space="preserve">.  </w:t>
            </w:r>
            <w:r w:rsidR="001606E1" w:rsidRPr="00C84F22">
              <w:t xml:space="preserve">Grant Thornton was also the Company's </w:t>
            </w:r>
            <w:r w:rsidR="00DA5489">
              <w:t>f</w:t>
            </w:r>
            <w:r w:rsidR="001606E1">
              <w:t>irm of auditors</w:t>
            </w:r>
            <w:r w:rsidR="00DA5489">
              <w:t xml:space="preserve"> for 2015</w:t>
            </w:r>
            <w:r w:rsidR="001606E1" w:rsidRPr="00C84F22">
              <w:t>.</w:t>
            </w:r>
            <w:r w:rsidR="001606E1">
              <w:t xml:space="preserve">  More information about Grant Thornton and their fees can be found below under the heading </w:t>
            </w:r>
            <w:r w:rsidR="001606E1">
              <w:rPr>
                <w:i/>
              </w:rPr>
              <w:t>Information About Audit Fees &amp; Audit Services</w:t>
            </w:r>
            <w:r w:rsidR="001606E1">
              <w:t xml:space="preserve"> on Page </w:t>
            </w:r>
            <w:r w:rsidR="001A222F">
              <w:t>39</w:t>
            </w:r>
            <w:r w:rsidR="001606E1">
              <w:t xml:space="preserve">.  </w:t>
            </w:r>
          </w:p>
          <w:p w:rsidR="001606E1" w:rsidRPr="006179F0" w:rsidRDefault="00CC5F52" w:rsidP="00C2290D">
            <w:pPr>
              <w:spacing w:after="240"/>
              <w:ind w:left="1354" w:hanging="1354"/>
              <w:jc w:val="left"/>
            </w:pPr>
            <w:r>
              <w:rPr>
                <w:b/>
                <w:i/>
              </w:rPr>
              <w:t>Proposal #3</w:t>
            </w:r>
            <w:r w:rsidR="001606E1" w:rsidRPr="00F734F4">
              <w:rPr>
                <w:b/>
                <w:i/>
              </w:rPr>
              <w:t>:</w:t>
            </w:r>
            <w:r w:rsidR="001606E1">
              <w:tab/>
              <w:t>A</w:t>
            </w:r>
            <w:r w:rsidR="00AD5DDE">
              <w:t>dvisory a</w:t>
            </w:r>
            <w:r w:rsidR="001606E1">
              <w:t>pproval of</w:t>
            </w:r>
            <w:r w:rsidR="001606E1" w:rsidRPr="00740098">
              <w:t xml:space="preserve"> the compensation of the Company's named executive officers</w:t>
            </w:r>
            <w:r w:rsidR="001606E1">
              <w:t xml:space="preserve">.  More information about the compensation of executives can be found in the following summary and below under the heading </w:t>
            </w:r>
            <w:r w:rsidR="001606E1">
              <w:rPr>
                <w:i/>
              </w:rPr>
              <w:t>Executive Compensation</w:t>
            </w:r>
            <w:r w:rsidR="001606E1">
              <w:t xml:space="preserve"> on Page</w:t>
            </w:r>
            <w:r w:rsidR="005F0E14">
              <w:t> </w:t>
            </w:r>
            <w:r w:rsidR="00047B5D">
              <w:t>2</w:t>
            </w:r>
            <w:r w:rsidR="00C2290D">
              <w:t>1</w:t>
            </w:r>
            <w:r w:rsidR="001606E1">
              <w:t>.</w:t>
            </w:r>
          </w:p>
        </w:tc>
      </w:tr>
    </w:tbl>
    <w:p w:rsidR="001606E1" w:rsidRDefault="001606E1">
      <w:r>
        <w:rPr>
          <w:b/>
        </w:rPr>
        <w:br w:type="page"/>
      </w:r>
    </w:p>
    <w:tbl>
      <w:tblPr>
        <w:tblStyle w:val="TableGrid"/>
        <w:tblW w:w="10063" w:type="dxa"/>
        <w:tblCellMar>
          <w:top w:w="360" w:type="dxa"/>
          <w:left w:w="360" w:type="dxa"/>
          <w:bottom w:w="360" w:type="dxa"/>
          <w:right w:w="360" w:type="dxa"/>
        </w:tblCellMar>
        <w:tblLook w:val="04A0" w:firstRow="1" w:lastRow="0" w:firstColumn="1" w:lastColumn="0" w:noHBand="0" w:noVBand="1"/>
      </w:tblPr>
      <w:tblGrid>
        <w:gridCol w:w="10063"/>
      </w:tblGrid>
      <w:tr w:rsidR="001606E1" w:rsidTr="00CC0B6D">
        <w:tc>
          <w:tcPr>
            <w:tcW w:w="10063" w:type="dxa"/>
            <w:tcBorders>
              <w:top w:val="double" w:sz="4" w:space="0" w:color="auto"/>
              <w:left w:val="double" w:sz="4" w:space="0" w:color="auto"/>
              <w:bottom w:val="double" w:sz="4" w:space="0" w:color="auto"/>
              <w:right w:val="double" w:sz="4" w:space="0" w:color="auto"/>
            </w:tcBorders>
          </w:tcPr>
          <w:p w:rsidR="001606E1" w:rsidRPr="000D27E8" w:rsidRDefault="001606E1" w:rsidP="00B501D4">
            <w:pPr>
              <w:pStyle w:val="002Proxy"/>
              <w:jc w:val="center"/>
              <w:rPr>
                <w:rStyle w:val="002ProxyChar"/>
                <w:b/>
                <w:smallCaps/>
              </w:rPr>
            </w:pPr>
            <w:bookmarkStart w:id="5" w:name="_Toc405545416"/>
            <w:bookmarkStart w:id="6" w:name="_Toc445739539"/>
            <w:r w:rsidRPr="000D27E8">
              <w:rPr>
                <w:smallCaps/>
              </w:rPr>
              <w:lastRenderedPageBreak/>
              <w:t>Summary of Executive Compensation</w:t>
            </w:r>
            <w:bookmarkEnd w:id="5"/>
            <w:bookmarkEnd w:id="6"/>
          </w:p>
          <w:p w:rsidR="00CF1141" w:rsidRDefault="001606E1" w:rsidP="00B501D4">
            <w:pPr>
              <w:jc w:val="left"/>
            </w:pPr>
            <w:r w:rsidRPr="00482051">
              <w:t xml:space="preserve">This summary is qualified by the </w:t>
            </w:r>
            <w:r>
              <w:t xml:space="preserve">information below under the heading </w:t>
            </w:r>
            <w:r>
              <w:rPr>
                <w:i/>
              </w:rPr>
              <w:t>Executive Compensation</w:t>
            </w:r>
            <w:r>
              <w:t xml:space="preserve">, which begins </w:t>
            </w:r>
            <w:r w:rsidRPr="00482051">
              <w:t xml:space="preserve">on Page </w:t>
            </w:r>
            <w:r w:rsidR="00C25C54">
              <w:t>21</w:t>
            </w:r>
            <w:r w:rsidRPr="00482051">
              <w:t xml:space="preserve">.  </w:t>
            </w:r>
          </w:p>
          <w:p w:rsidR="001606E1" w:rsidRPr="00482051" w:rsidRDefault="005966E9" w:rsidP="00B501D4">
            <w:pPr>
              <w:jc w:val="left"/>
            </w:pPr>
            <w:r w:rsidRPr="005966E9">
              <w:rPr>
                <w:b/>
                <w:i/>
              </w:rPr>
              <w:t>Named Executive Officers</w:t>
            </w:r>
            <w:r>
              <w:t xml:space="preserve">.  </w:t>
            </w:r>
            <w:r w:rsidR="00CF1141">
              <w:t xml:space="preserve">The </w:t>
            </w:r>
            <w:r>
              <w:t xml:space="preserve">Company's </w:t>
            </w:r>
            <w:r w:rsidR="00CF1141">
              <w:t xml:space="preserve">named executive officers </w:t>
            </w:r>
            <w:r w:rsidR="00A63998">
              <w:t>are</w:t>
            </w:r>
            <w:r w:rsidR="00CF1141">
              <w:t xml:space="preserve"> </w:t>
            </w:r>
            <w:r w:rsidR="008F55A2">
              <w:t xml:space="preserve">those officers who are named in the </w:t>
            </w:r>
            <w:r w:rsidR="008F55A2" w:rsidRPr="008F55A2">
              <w:rPr>
                <w:i/>
              </w:rPr>
              <w:t>Summary Compensation Table for 201</w:t>
            </w:r>
            <w:r w:rsidR="00CC5F52">
              <w:rPr>
                <w:i/>
              </w:rPr>
              <w:t>5</w:t>
            </w:r>
            <w:r w:rsidR="008F55A2">
              <w:t xml:space="preserve"> under the heading </w:t>
            </w:r>
            <w:r w:rsidR="008F55A2" w:rsidRPr="008F55A2">
              <w:rPr>
                <w:i/>
              </w:rPr>
              <w:t>Executive Compensation</w:t>
            </w:r>
            <w:r w:rsidR="008F55A2">
              <w:t xml:space="preserve">.  As noted below, </w:t>
            </w:r>
            <w:r w:rsidR="0026048F">
              <w:t xml:space="preserve">two </w:t>
            </w:r>
            <w:r w:rsidR="008F55A2">
              <w:t xml:space="preserve">named executive officers left the Company in 2015.  </w:t>
            </w:r>
            <w:r w:rsidR="006C047B">
              <w:t>Except for Mr. Blair, t</w:t>
            </w:r>
            <w:r w:rsidR="008F55A2">
              <w:t xml:space="preserve">he salaries of the named executive officers </w:t>
            </w:r>
            <w:r w:rsidR="0026048F">
              <w:t>in 2015 were</w:t>
            </w:r>
            <w:r w:rsidR="008F55A2">
              <w:t xml:space="preserve"> </w:t>
            </w:r>
            <w:r w:rsidR="00CF1141">
              <w:t>based on their employment agreements</w:t>
            </w:r>
            <w:r w:rsidR="006C047B">
              <w:t xml:space="preserve">, or in the case of Mr. Ballschmiede, </w:t>
            </w:r>
            <w:r w:rsidR="00FC34E6">
              <w:t>o</w:t>
            </w:r>
            <w:r w:rsidR="006C047B">
              <w:t>n an outline of employment terms</w:t>
            </w:r>
            <w:r w:rsidR="00CF1141">
              <w:t xml:space="preserve">.  </w:t>
            </w:r>
            <w:r w:rsidR="006C047B">
              <w:t xml:space="preserve">Mr. Blair has no employment agreement.  </w:t>
            </w:r>
            <w:r w:rsidR="003F11C4">
              <w:t>A</w:t>
            </w:r>
            <w:r w:rsidR="006C047B">
              <w:t xml:space="preserve">fter serving on an interim basis as Chief Financial Officer, </w:t>
            </w:r>
            <w:r w:rsidR="003F11C4">
              <w:t xml:space="preserve">as indicated below, </w:t>
            </w:r>
            <w:r w:rsidR="006C047B">
              <w:t xml:space="preserve">he </w:t>
            </w:r>
            <w:r w:rsidR="003F11C4">
              <w:t xml:space="preserve">resumed </w:t>
            </w:r>
            <w:r w:rsidR="006C047B">
              <w:t>his position as Senior Vice President, Corporate</w:t>
            </w:r>
            <w:r w:rsidR="003F11C4">
              <w:t xml:space="preserve"> </w:t>
            </w:r>
            <w:r w:rsidR="006C047B">
              <w:t>Finance</w:t>
            </w:r>
            <w:r w:rsidR="003F11C4">
              <w:t xml:space="preserve">.  </w:t>
            </w:r>
          </w:p>
          <w:p w:rsidR="001606E1" w:rsidRDefault="001606E1" w:rsidP="00AA76F9">
            <w:pPr>
              <w:spacing w:after="0"/>
              <w:jc w:val="left"/>
            </w:pPr>
            <w:r w:rsidRPr="00715371">
              <w:t xml:space="preserve">The </w:t>
            </w:r>
            <w:r>
              <w:t xml:space="preserve">Company's named </w:t>
            </w:r>
            <w:r w:rsidRPr="00715371">
              <w:t xml:space="preserve">executive officers </w:t>
            </w:r>
            <w:r w:rsidR="0042035F">
              <w:t xml:space="preserve">for </w:t>
            </w:r>
            <w:r w:rsidR="002F33F9">
              <w:t>201</w:t>
            </w:r>
            <w:r w:rsidR="00CC5F52">
              <w:t>5</w:t>
            </w:r>
            <w:r w:rsidR="002F33F9">
              <w:t xml:space="preserve"> were </w:t>
            </w:r>
            <w:r>
              <w:t>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4464"/>
              <w:gridCol w:w="2028"/>
            </w:tblGrid>
            <w:tr w:rsidR="001606E1" w:rsidRPr="009D3C07" w:rsidTr="006C047B">
              <w:trPr>
                <w:tblHeader/>
                <w:jc w:val="center"/>
              </w:trPr>
              <w:tc>
                <w:tcPr>
                  <w:tcW w:w="2319" w:type="dxa"/>
                  <w:tcBorders>
                    <w:bottom w:val="single" w:sz="4" w:space="0" w:color="auto"/>
                  </w:tcBorders>
                  <w:tcMar>
                    <w:top w:w="58" w:type="dxa"/>
                    <w:left w:w="115" w:type="dxa"/>
                    <w:bottom w:w="0" w:type="dxa"/>
                    <w:right w:w="115" w:type="dxa"/>
                  </w:tcMar>
                  <w:vAlign w:val="bottom"/>
                </w:tcPr>
                <w:p w:rsidR="001606E1" w:rsidRPr="009D3C07" w:rsidRDefault="001606E1" w:rsidP="00B501D4">
                  <w:pPr>
                    <w:keepNext/>
                    <w:widowControl/>
                    <w:spacing w:after="0"/>
                    <w:jc w:val="left"/>
                    <w:rPr>
                      <w:b/>
                      <w:sz w:val="18"/>
                      <w:szCs w:val="18"/>
                    </w:rPr>
                  </w:pPr>
                  <w:r w:rsidRPr="009D3C07">
                    <w:rPr>
                      <w:b/>
                      <w:sz w:val="18"/>
                      <w:szCs w:val="18"/>
                    </w:rPr>
                    <w:t>Name</w:t>
                  </w:r>
                </w:p>
              </w:tc>
              <w:tc>
                <w:tcPr>
                  <w:tcW w:w="4464" w:type="dxa"/>
                  <w:tcBorders>
                    <w:bottom w:val="single" w:sz="4" w:space="0" w:color="auto"/>
                  </w:tcBorders>
                  <w:tcMar>
                    <w:top w:w="58" w:type="dxa"/>
                    <w:left w:w="115" w:type="dxa"/>
                    <w:bottom w:w="0" w:type="dxa"/>
                    <w:right w:w="115" w:type="dxa"/>
                  </w:tcMar>
                  <w:vAlign w:val="bottom"/>
                </w:tcPr>
                <w:p w:rsidR="001606E1" w:rsidRPr="009D3C07" w:rsidRDefault="001606E1" w:rsidP="006C047B">
                  <w:pPr>
                    <w:keepNext/>
                    <w:widowControl/>
                    <w:spacing w:after="0"/>
                    <w:jc w:val="center"/>
                    <w:rPr>
                      <w:b/>
                      <w:sz w:val="18"/>
                      <w:szCs w:val="18"/>
                    </w:rPr>
                  </w:pPr>
                  <w:r>
                    <w:rPr>
                      <w:b/>
                      <w:sz w:val="18"/>
                      <w:szCs w:val="18"/>
                    </w:rPr>
                    <w:t>Title/Position</w:t>
                  </w:r>
                </w:p>
              </w:tc>
              <w:tc>
                <w:tcPr>
                  <w:tcW w:w="2028" w:type="dxa"/>
                  <w:tcBorders>
                    <w:bottom w:val="single" w:sz="4" w:space="0" w:color="auto"/>
                  </w:tcBorders>
                </w:tcPr>
                <w:p w:rsidR="001606E1" w:rsidRDefault="00CC5F52" w:rsidP="00CC5F52">
                  <w:pPr>
                    <w:keepNext/>
                    <w:widowControl/>
                    <w:spacing w:after="0"/>
                    <w:jc w:val="center"/>
                    <w:rPr>
                      <w:b/>
                      <w:sz w:val="18"/>
                      <w:szCs w:val="18"/>
                    </w:rPr>
                  </w:pPr>
                  <w:r>
                    <w:rPr>
                      <w:b/>
                      <w:sz w:val="18"/>
                      <w:szCs w:val="18"/>
                    </w:rPr>
                    <w:t xml:space="preserve">Date of </w:t>
                  </w:r>
                  <w:r w:rsidR="001606E1">
                    <w:rPr>
                      <w:b/>
                      <w:sz w:val="18"/>
                      <w:szCs w:val="18"/>
                    </w:rPr>
                    <w:t xml:space="preserve">Executive Officer </w:t>
                  </w:r>
                  <w:r>
                    <w:rPr>
                      <w:b/>
                      <w:sz w:val="18"/>
                      <w:szCs w:val="18"/>
                    </w:rPr>
                    <w:t>Status</w:t>
                  </w:r>
                </w:p>
              </w:tc>
            </w:tr>
            <w:tr w:rsidR="00CC5F52" w:rsidRPr="009D3C07" w:rsidTr="006C047B">
              <w:trPr>
                <w:jc w:val="center"/>
              </w:trPr>
              <w:tc>
                <w:tcPr>
                  <w:tcW w:w="2319" w:type="dxa"/>
                  <w:tcBorders>
                    <w:top w:val="single" w:sz="4" w:space="0" w:color="auto"/>
                  </w:tcBorders>
                  <w:shd w:val="clear" w:color="auto" w:fill="C6D9F1" w:themeFill="text2" w:themeFillTint="33"/>
                  <w:tcMar>
                    <w:top w:w="58" w:type="dxa"/>
                    <w:left w:w="115" w:type="dxa"/>
                    <w:bottom w:w="58" w:type="dxa"/>
                    <w:right w:w="115" w:type="dxa"/>
                  </w:tcMar>
                  <w:vAlign w:val="center"/>
                </w:tcPr>
                <w:p w:rsidR="00CC5F52" w:rsidRPr="009D3C07" w:rsidRDefault="00CC5F52" w:rsidP="00B501D4">
                  <w:pPr>
                    <w:keepNext/>
                    <w:widowControl/>
                    <w:spacing w:after="0"/>
                    <w:jc w:val="left"/>
                    <w:rPr>
                      <w:sz w:val="20"/>
                    </w:rPr>
                  </w:pPr>
                  <w:r>
                    <w:rPr>
                      <w:sz w:val="20"/>
                    </w:rPr>
                    <w:t>Paul J. Varello</w:t>
                  </w:r>
                </w:p>
              </w:tc>
              <w:tc>
                <w:tcPr>
                  <w:tcW w:w="4464" w:type="dxa"/>
                  <w:tcBorders>
                    <w:top w:val="single" w:sz="4" w:space="0" w:color="auto"/>
                  </w:tcBorders>
                  <w:shd w:val="clear" w:color="auto" w:fill="C6D9F1" w:themeFill="text2" w:themeFillTint="33"/>
                  <w:tcMar>
                    <w:top w:w="58" w:type="dxa"/>
                    <w:left w:w="115" w:type="dxa"/>
                    <w:bottom w:w="58" w:type="dxa"/>
                    <w:right w:w="115" w:type="dxa"/>
                  </w:tcMar>
                  <w:vAlign w:val="center"/>
                </w:tcPr>
                <w:p w:rsidR="00CC5F52" w:rsidRPr="009D3C07" w:rsidRDefault="00CC5F52" w:rsidP="00B501D4">
                  <w:pPr>
                    <w:keepNext/>
                    <w:widowControl/>
                    <w:spacing w:after="0"/>
                    <w:jc w:val="left"/>
                    <w:rPr>
                      <w:sz w:val="20"/>
                    </w:rPr>
                  </w:pPr>
                  <w:r>
                    <w:rPr>
                      <w:sz w:val="20"/>
                    </w:rPr>
                    <w:t>Chief Executive Officer</w:t>
                  </w:r>
                </w:p>
              </w:tc>
              <w:tc>
                <w:tcPr>
                  <w:tcW w:w="2028" w:type="dxa"/>
                  <w:tcBorders>
                    <w:top w:val="single" w:sz="4" w:space="0" w:color="auto"/>
                  </w:tcBorders>
                  <w:shd w:val="clear" w:color="auto" w:fill="C6D9F1" w:themeFill="text2" w:themeFillTint="33"/>
                  <w:vAlign w:val="center"/>
                </w:tcPr>
                <w:p w:rsidR="00CC5F52" w:rsidRDefault="00CC5F52" w:rsidP="00CC5F52">
                  <w:pPr>
                    <w:keepNext/>
                    <w:widowControl/>
                    <w:spacing w:after="0"/>
                    <w:jc w:val="center"/>
                    <w:rPr>
                      <w:sz w:val="20"/>
                    </w:rPr>
                  </w:pPr>
                  <w:r>
                    <w:rPr>
                      <w:sz w:val="20"/>
                    </w:rPr>
                    <w:t>Since February 1, 2015</w:t>
                  </w:r>
                </w:p>
              </w:tc>
            </w:tr>
            <w:tr w:rsidR="00CC5F52" w:rsidRPr="009D3C07" w:rsidTr="006C047B">
              <w:trPr>
                <w:jc w:val="center"/>
              </w:trPr>
              <w:tc>
                <w:tcPr>
                  <w:tcW w:w="2319" w:type="dxa"/>
                  <w:shd w:val="clear" w:color="auto" w:fill="FFFFFF" w:themeFill="background1"/>
                  <w:tcMar>
                    <w:top w:w="58" w:type="dxa"/>
                    <w:left w:w="115" w:type="dxa"/>
                    <w:bottom w:w="58" w:type="dxa"/>
                    <w:right w:w="115" w:type="dxa"/>
                  </w:tcMar>
                </w:tcPr>
                <w:p w:rsidR="00CC5F52" w:rsidRPr="009D3C07" w:rsidRDefault="00CC5F52" w:rsidP="00664463">
                  <w:pPr>
                    <w:keepNext/>
                    <w:widowControl/>
                    <w:spacing w:after="0"/>
                    <w:jc w:val="left"/>
                    <w:rPr>
                      <w:sz w:val="20"/>
                    </w:rPr>
                  </w:pPr>
                  <w:r>
                    <w:rPr>
                      <w:sz w:val="20"/>
                    </w:rPr>
                    <w:t>Ronald A. Ballschmiede</w:t>
                  </w:r>
                </w:p>
              </w:tc>
              <w:tc>
                <w:tcPr>
                  <w:tcW w:w="4464" w:type="dxa"/>
                  <w:shd w:val="clear" w:color="auto" w:fill="FFFFFF" w:themeFill="background1"/>
                  <w:tcMar>
                    <w:top w:w="58" w:type="dxa"/>
                    <w:left w:w="115" w:type="dxa"/>
                    <w:bottom w:w="58" w:type="dxa"/>
                    <w:right w:w="115" w:type="dxa"/>
                  </w:tcMar>
                  <w:vAlign w:val="center"/>
                </w:tcPr>
                <w:p w:rsidR="00CC5F52" w:rsidRPr="009D3C07" w:rsidRDefault="00CC5F52" w:rsidP="00263C77">
                  <w:pPr>
                    <w:keepNext/>
                    <w:widowControl/>
                    <w:spacing w:after="0"/>
                    <w:jc w:val="left"/>
                    <w:rPr>
                      <w:sz w:val="20"/>
                    </w:rPr>
                  </w:pPr>
                  <w:r>
                    <w:rPr>
                      <w:sz w:val="20"/>
                    </w:rPr>
                    <w:t>Executive Vice President &amp; Chief Financial Officer</w:t>
                  </w:r>
                  <w:r w:rsidR="00263C77">
                    <w:rPr>
                      <w:sz w:val="20"/>
                    </w:rPr>
                    <w:t xml:space="preserve">, Chief Accounting Officer </w:t>
                  </w:r>
                </w:p>
              </w:tc>
              <w:tc>
                <w:tcPr>
                  <w:tcW w:w="2028" w:type="dxa"/>
                  <w:shd w:val="clear" w:color="auto" w:fill="FFFFFF" w:themeFill="background1"/>
                  <w:vAlign w:val="center"/>
                </w:tcPr>
                <w:p w:rsidR="00CC5F52" w:rsidRDefault="00CC5F52" w:rsidP="00B501D4">
                  <w:pPr>
                    <w:keepNext/>
                    <w:widowControl/>
                    <w:spacing w:after="0"/>
                    <w:jc w:val="center"/>
                    <w:rPr>
                      <w:sz w:val="20"/>
                    </w:rPr>
                  </w:pPr>
                  <w:r>
                    <w:rPr>
                      <w:sz w:val="20"/>
                    </w:rPr>
                    <w:t>Since November 9, 2015</w:t>
                  </w:r>
                </w:p>
              </w:tc>
            </w:tr>
            <w:tr w:rsidR="00CC5F52" w:rsidRPr="009D3C07" w:rsidTr="006C047B">
              <w:trPr>
                <w:jc w:val="center"/>
              </w:trPr>
              <w:tc>
                <w:tcPr>
                  <w:tcW w:w="2319" w:type="dxa"/>
                  <w:shd w:val="clear" w:color="auto" w:fill="C6D9F1" w:themeFill="text2" w:themeFillTint="33"/>
                  <w:tcMar>
                    <w:top w:w="58" w:type="dxa"/>
                    <w:left w:w="115" w:type="dxa"/>
                    <w:bottom w:w="58" w:type="dxa"/>
                    <w:right w:w="115" w:type="dxa"/>
                  </w:tcMar>
                  <w:vAlign w:val="center"/>
                </w:tcPr>
                <w:p w:rsidR="00CC5F52" w:rsidRPr="009D3C07" w:rsidRDefault="00CC5F52" w:rsidP="00B501D4">
                  <w:pPr>
                    <w:keepNext/>
                    <w:widowControl/>
                    <w:spacing w:after="0"/>
                    <w:jc w:val="left"/>
                    <w:rPr>
                      <w:sz w:val="20"/>
                    </w:rPr>
                  </w:pPr>
                  <w:r>
                    <w:rPr>
                      <w:sz w:val="20"/>
                    </w:rPr>
                    <w:t>Roger M. Barzun</w:t>
                  </w:r>
                </w:p>
              </w:tc>
              <w:tc>
                <w:tcPr>
                  <w:tcW w:w="4464" w:type="dxa"/>
                  <w:shd w:val="clear" w:color="auto" w:fill="C6D9F1" w:themeFill="text2" w:themeFillTint="33"/>
                  <w:tcMar>
                    <w:top w:w="58" w:type="dxa"/>
                    <w:left w:w="115" w:type="dxa"/>
                    <w:bottom w:w="58" w:type="dxa"/>
                    <w:right w:w="115" w:type="dxa"/>
                  </w:tcMar>
                  <w:vAlign w:val="center"/>
                </w:tcPr>
                <w:p w:rsidR="00CC5F52" w:rsidRPr="009D3C07" w:rsidRDefault="002F4238" w:rsidP="00B501D4">
                  <w:pPr>
                    <w:keepNext/>
                    <w:widowControl/>
                    <w:spacing w:after="0"/>
                    <w:jc w:val="left"/>
                    <w:rPr>
                      <w:sz w:val="20"/>
                    </w:rPr>
                  </w:pPr>
                  <w:r>
                    <w:rPr>
                      <w:sz w:val="20"/>
                    </w:rPr>
                    <w:t>Senior Vice President &amp; General Counsel, Secretary</w:t>
                  </w:r>
                </w:p>
              </w:tc>
              <w:tc>
                <w:tcPr>
                  <w:tcW w:w="2028" w:type="dxa"/>
                  <w:shd w:val="clear" w:color="auto" w:fill="C6D9F1" w:themeFill="text2" w:themeFillTint="33"/>
                  <w:vAlign w:val="center"/>
                </w:tcPr>
                <w:p w:rsidR="00CC5F52" w:rsidRDefault="00263C77" w:rsidP="00B501D4">
                  <w:pPr>
                    <w:keepNext/>
                    <w:widowControl/>
                    <w:spacing w:after="0"/>
                    <w:jc w:val="center"/>
                    <w:rPr>
                      <w:sz w:val="20"/>
                    </w:rPr>
                  </w:pPr>
                  <w:r>
                    <w:rPr>
                      <w:sz w:val="20"/>
                    </w:rPr>
                    <w:t xml:space="preserve">Since </w:t>
                  </w:r>
                  <w:r w:rsidR="002F4238">
                    <w:rPr>
                      <w:sz w:val="20"/>
                    </w:rPr>
                    <w:t>2006</w:t>
                  </w:r>
                </w:p>
              </w:tc>
            </w:tr>
            <w:tr w:rsidR="00664463" w:rsidRPr="009D3C07" w:rsidTr="006C047B">
              <w:trPr>
                <w:jc w:val="center"/>
              </w:trPr>
              <w:tc>
                <w:tcPr>
                  <w:tcW w:w="2319" w:type="dxa"/>
                  <w:shd w:val="clear" w:color="auto" w:fill="FFFFFF" w:themeFill="background1"/>
                  <w:tcMar>
                    <w:top w:w="58" w:type="dxa"/>
                    <w:left w:w="115" w:type="dxa"/>
                    <w:bottom w:w="58" w:type="dxa"/>
                    <w:right w:w="115" w:type="dxa"/>
                  </w:tcMar>
                </w:tcPr>
                <w:p w:rsidR="00664463" w:rsidRPr="009D3C07" w:rsidRDefault="00664463" w:rsidP="00664463">
                  <w:pPr>
                    <w:keepNext/>
                    <w:widowControl/>
                    <w:spacing w:after="0"/>
                    <w:jc w:val="left"/>
                    <w:rPr>
                      <w:sz w:val="20"/>
                    </w:rPr>
                  </w:pPr>
                  <w:r>
                    <w:rPr>
                      <w:sz w:val="20"/>
                    </w:rPr>
                    <w:t>Kevan M. Blair</w:t>
                  </w:r>
                </w:p>
              </w:tc>
              <w:tc>
                <w:tcPr>
                  <w:tcW w:w="4464" w:type="dxa"/>
                  <w:shd w:val="clear" w:color="auto" w:fill="FFFFFF" w:themeFill="background1"/>
                  <w:tcMar>
                    <w:top w:w="58" w:type="dxa"/>
                    <w:left w:w="115" w:type="dxa"/>
                    <w:bottom w:w="58" w:type="dxa"/>
                    <w:right w:w="115" w:type="dxa"/>
                  </w:tcMar>
                </w:tcPr>
                <w:p w:rsidR="00664463" w:rsidRPr="009D3C07" w:rsidRDefault="00664463" w:rsidP="00664463">
                  <w:pPr>
                    <w:keepNext/>
                    <w:widowControl/>
                    <w:spacing w:after="0"/>
                    <w:jc w:val="left"/>
                    <w:rPr>
                      <w:sz w:val="20"/>
                    </w:rPr>
                  </w:pPr>
                  <w:r>
                    <w:rPr>
                      <w:sz w:val="20"/>
                    </w:rPr>
                    <w:t xml:space="preserve">Senior Vice President &amp; Chief Financial Officer </w:t>
                  </w:r>
                </w:p>
              </w:tc>
              <w:tc>
                <w:tcPr>
                  <w:tcW w:w="2028" w:type="dxa"/>
                  <w:shd w:val="clear" w:color="auto" w:fill="FFFFFF" w:themeFill="background1"/>
                  <w:vAlign w:val="center"/>
                </w:tcPr>
                <w:p w:rsidR="00664463" w:rsidRDefault="00664463" w:rsidP="00664463">
                  <w:pPr>
                    <w:keepNext/>
                    <w:widowControl/>
                    <w:spacing w:after="0"/>
                    <w:jc w:val="center"/>
                    <w:rPr>
                      <w:sz w:val="20"/>
                    </w:rPr>
                  </w:pPr>
                  <w:r>
                    <w:rPr>
                      <w:sz w:val="20"/>
                    </w:rPr>
                    <w:t xml:space="preserve">From July </w:t>
                  </w:r>
                  <w:r w:rsidR="003C76DF">
                    <w:rPr>
                      <w:sz w:val="20"/>
                    </w:rPr>
                    <w:t xml:space="preserve">3 </w:t>
                  </w:r>
                  <w:r>
                    <w:rPr>
                      <w:sz w:val="20"/>
                    </w:rPr>
                    <w:t>to November 9, 2015</w:t>
                  </w:r>
                </w:p>
              </w:tc>
            </w:tr>
            <w:tr w:rsidR="0026048F" w:rsidRPr="009D3C07" w:rsidTr="006C047B">
              <w:trPr>
                <w:jc w:val="center"/>
              </w:trPr>
              <w:tc>
                <w:tcPr>
                  <w:tcW w:w="2319" w:type="dxa"/>
                  <w:shd w:val="clear" w:color="auto" w:fill="C6D9F1" w:themeFill="text2" w:themeFillTint="33"/>
                  <w:tcMar>
                    <w:top w:w="58" w:type="dxa"/>
                    <w:left w:w="115" w:type="dxa"/>
                    <w:bottom w:w="58" w:type="dxa"/>
                    <w:right w:w="115" w:type="dxa"/>
                  </w:tcMar>
                </w:tcPr>
                <w:p w:rsidR="0026048F" w:rsidRPr="009D3C07" w:rsidRDefault="0026048F" w:rsidP="00664463">
                  <w:pPr>
                    <w:keepNext/>
                    <w:widowControl/>
                    <w:spacing w:after="0"/>
                    <w:jc w:val="left"/>
                    <w:rPr>
                      <w:sz w:val="20"/>
                    </w:rPr>
                  </w:pPr>
                  <w:r w:rsidRPr="009D3C07">
                    <w:rPr>
                      <w:sz w:val="20"/>
                    </w:rPr>
                    <w:t>Peter E. MacKenna</w:t>
                  </w:r>
                </w:p>
              </w:tc>
              <w:tc>
                <w:tcPr>
                  <w:tcW w:w="4464" w:type="dxa"/>
                  <w:shd w:val="clear" w:color="auto" w:fill="C6D9F1" w:themeFill="text2" w:themeFillTint="33"/>
                  <w:tcMar>
                    <w:top w:w="58" w:type="dxa"/>
                    <w:left w:w="115" w:type="dxa"/>
                    <w:bottom w:w="58" w:type="dxa"/>
                    <w:right w:w="115" w:type="dxa"/>
                  </w:tcMar>
                </w:tcPr>
                <w:p w:rsidR="0026048F" w:rsidRPr="009D3C07" w:rsidRDefault="009B3751" w:rsidP="00664463">
                  <w:pPr>
                    <w:keepNext/>
                    <w:widowControl/>
                    <w:spacing w:after="0"/>
                    <w:jc w:val="left"/>
                    <w:rPr>
                      <w:sz w:val="20"/>
                    </w:rPr>
                  </w:pPr>
                  <w:r>
                    <w:rPr>
                      <w:sz w:val="20"/>
                    </w:rPr>
                    <w:t xml:space="preserve">Former </w:t>
                  </w:r>
                  <w:r w:rsidR="0026048F" w:rsidRPr="009D3C07">
                    <w:rPr>
                      <w:sz w:val="20"/>
                    </w:rPr>
                    <w:t>President &amp; Chief Executive Officer</w:t>
                  </w:r>
                </w:p>
              </w:tc>
              <w:tc>
                <w:tcPr>
                  <w:tcW w:w="2028" w:type="dxa"/>
                  <w:shd w:val="clear" w:color="auto" w:fill="C6D9F1" w:themeFill="text2" w:themeFillTint="33"/>
                  <w:vAlign w:val="center"/>
                </w:tcPr>
                <w:p w:rsidR="0026048F" w:rsidRPr="009D3C07" w:rsidRDefault="0026048F" w:rsidP="0026048F">
                  <w:pPr>
                    <w:keepNext/>
                    <w:widowControl/>
                    <w:spacing w:after="0"/>
                    <w:jc w:val="center"/>
                    <w:rPr>
                      <w:sz w:val="20"/>
                    </w:rPr>
                  </w:pPr>
                  <w:r>
                    <w:rPr>
                      <w:sz w:val="20"/>
                    </w:rPr>
                    <w:t>From September 2012 through January 2015</w:t>
                  </w:r>
                </w:p>
              </w:tc>
            </w:tr>
            <w:tr w:rsidR="0026048F" w:rsidRPr="009D3C07" w:rsidTr="006C047B">
              <w:trPr>
                <w:jc w:val="center"/>
              </w:trPr>
              <w:tc>
                <w:tcPr>
                  <w:tcW w:w="2319" w:type="dxa"/>
                  <w:tcBorders>
                    <w:bottom w:val="single" w:sz="4" w:space="0" w:color="auto"/>
                  </w:tcBorders>
                  <w:shd w:val="clear" w:color="auto" w:fill="FFFFFF" w:themeFill="background1"/>
                  <w:tcMar>
                    <w:top w:w="58" w:type="dxa"/>
                    <w:left w:w="115" w:type="dxa"/>
                    <w:bottom w:w="58" w:type="dxa"/>
                    <w:right w:w="115" w:type="dxa"/>
                  </w:tcMar>
                </w:tcPr>
                <w:p w:rsidR="0026048F" w:rsidRPr="009D3C07" w:rsidRDefault="0026048F" w:rsidP="0042035F">
                  <w:pPr>
                    <w:widowControl/>
                    <w:spacing w:after="0"/>
                    <w:jc w:val="left"/>
                    <w:rPr>
                      <w:sz w:val="20"/>
                    </w:rPr>
                  </w:pPr>
                  <w:r w:rsidRPr="009D3C07">
                    <w:rPr>
                      <w:sz w:val="20"/>
                    </w:rPr>
                    <w:t>Thomas R. Wright</w:t>
                  </w:r>
                </w:p>
              </w:tc>
              <w:tc>
                <w:tcPr>
                  <w:tcW w:w="4464" w:type="dxa"/>
                  <w:tcBorders>
                    <w:bottom w:val="single" w:sz="4" w:space="0" w:color="auto"/>
                  </w:tcBorders>
                  <w:shd w:val="clear" w:color="auto" w:fill="FFFFFF" w:themeFill="background1"/>
                  <w:tcMar>
                    <w:top w:w="58" w:type="dxa"/>
                    <w:left w:w="115" w:type="dxa"/>
                    <w:bottom w:w="58" w:type="dxa"/>
                    <w:right w:w="115" w:type="dxa"/>
                  </w:tcMar>
                </w:tcPr>
                <w:p w:rsidR="0026048F" w:rsidRPr="009D3C07" w:rsidRDefault="009B3751" w:rsidP="00664463">
                  <w:pPr>
                    <w:widowControl/>
                    <w:spacing w:after="0"/>
                    <w:jc w:val="left"/>
                    <w:rPr>
                      <w:sz w:val="20"/>
                    </w:rPr>
                  </w:pPr>
                  <w:r>
                    <w:rPr>
                      <w:sz w:val="20"/>
                    </w:rPr>
                    <w:t xml:space="preserve">Former </w:t>
                  </w:r>
                  <w:r w:rsidR="0026048F" w:rsidRPr="009D3C07">
                    <w:rPr>
                      <w:sz w:val="20"/>
                    </w:rPr>
                    <w:t>Executive Vice President &amp; Chief Financial Officer</w:t>
                  </w:r>
                </w:p>
              </w:tc>
              <w:tc>
                <w:tcPr>
                  <w:tcW w:w="2028" w:type="dxa"/>
                  <w:tcBorders>
                    <w:bottom w:val="single" w:sz="4" w:space="0" w:color="auto"/>
                  </w:tcBorders>
                  <w:shd w:val="clear" w:color="auto" w:fill="FFFFFF" w:themeFill="background1"/>
                </w:tcPr>
                <w:p w:rsidR="0026048F" w:rsidRPr="009D3C07" w:rsidRDefault="0026048F" w:rsidP="00664463">
                  <w:pPr>
                    <w:widowControl/>
                    <w:spacing w:after="0"/>
                    <w:jc w:val="center"/>
                    <w:rPr>
                      <w:sz w:val="20"/>
                    </w:rPr>
                  </w:pPr>
                  <w:r>
                    <w:rPr>
                      <w:sz w:val="20"/>
                    </w:rPr>
                    <w:t xml:space="preserve">From </w:t>
                  </w:r>
                  <w:r w:rsidR="0042035F">
                    <w:rPr>
                      <w:sz w:val="20"/>
                    </w:rPr>
                    <w:t xml:space="preserve">September </w:t>
                  </w:r>
                  <w:r>
                    <w:rPr>
                      <w:sz w:val="20"/>
                    </w:rPr>
                    <w:t xml:space="preserve">2013 </w:t>
                  </w:r>
                  <w:r w:rsidR="0042035F">
                    <w:rPr>
                      <w:sz w:val="20"/>
                    </w:rPr>
                    <w:t>to Ju</w:t>
                  </w:r>
                  <w:r w:rsidR="00664463">
                    <w:rPr>
                      <w:sz w:val="20"/>
                    </w:rPr>
                    <w:t>ly 3,</w:t>
                  </w:r>
                  <w:r w:rsidR="0042035F">
                    <w:rPr>
                      <w:sz w:val="20"/>
                    </w:rPr>
                    <w:t xml:space="preserve"> </w:t>
                  </w:r>
                  <w:r>
                    <w:rPr>
                      <w:sz w:val="20"/>
                    </w:rPr>
                    <w:t>2015</w:t>
                  </w:r>
                </w:p>
              </w:tc>
            </w:tr>
          </w:tbl>
          <w:p w:rsidR="005E500C" w:rsidRDefault="000243A1" w:rsidP="00AA76F9">
            <w:pPr>
              <w:keepNext/>
              <w:tabs>
                <w:tab w:val="left" w:pos="1500"/>
              </w:tabs>
              <w:spacing w:before="160" w:after="40"/>
              <w:ind w:right="619"/>
            </w:pPr>
            <w:bookmarkStart w:id="7" w:name="_Toc445739540"/>
            <w:r w:rsidRPr="000243A1">
              <w:rPr>
                <w:rStyle w:val="003ProxyChar"/>
              </w:rPr>
              <w:t xml:space="preserve">2015 </w:t>
            </w:r>
            <w:r w:rsidR="00F92AD3" w:rsidRPr="000243A1">
              <w:rPr>
                <w:rStyle w:val="003ProxyChar"/>
              </w:rPr>
              <w:t>Compensation</w:t>
            </w:r>
            <w:bookmarkEnd w:id="7"/>
            <w:r w:rsidR="001606E1">
              <w:t xml:space="preserve">.  </w:t>
            </w:r>
            <w:r w:rsidR="001606E1" w:rsidRPr="00D00BF4">
              <w:t xml:space="preserve">The </w:t>
            </w:r>
            <w:r w:rsidR="001606E1">
              <w:t>table below shows the salaries</w:t>
            </w:r>
            <w:r w:rsidR="003C76DF">
              <w:t xml:space="preserve">, incentive compensation, bonuses </w:t>
            </w:r>
            <w:r w:rsidR="00C3159B">
              <w:t xml:space="preserve">and stock </w:t>
            </w:r>
            <w:r w:rsidR="003C76DF">
              <w:t>award</w:t>
            </w:r>
            <w:r w:rsidR="00C3159B">
              <w:t>s</w:t>
            </w:r>
            <w:r w:rsidR="003C76DF">
              <w:t xml:space="preserve"> for 2015 of the named executive officers.</w:t>
            </w:r>
          </w:p>
          <w:tbl>
            <w:tblPr>
              <w:tblStyle w:val="TableGrid"/>
              <w:tblW w:w="9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8" w:type="dxa"/>
                <w:left w:w="115" w:type="dxa"/>
                <w:bottom w:w="58" w:type="dxa"/>
                <w:right w:w="115" w:type="dxa"/>
              </w:tblCellMar>
              <w:tblLook w:val="04A0" w:firstRow="1" w:lastRow="0" w:firstColumn="1" w:lastColumn="0" w:noHBand="0" w:noVBand="1"/>
            </w:tblPr>
            <w:tblGrid>
              <w:gridCol w:w="2217"/>
              <w:gridCol w:w="1183"/>
              <w:gridCol w:w="1390"/>
              <w:gridCol w:w="1047"/>
              <w:gridCol w:w="993"/>
              <w:gridCol w:w="1223"/>
              <w:gridCol w:w="1168"/>
            </w:tblGrid>
            <w:tr w:rsidR="00B41B46" w:rsidRPr="00127926" w:rsidTr="00AA76F9">
              <w:trPr>
                <w:cantSplit/>
                <w:jc w:val="center"/>
              </w:trPr>
              <w:tc>
                <w:tcPr>
                  <w:tcW w:w="2217" w:type="dxa"/>
                  <w:tcBorders>
                    <w:bottom w:val="single" w:sz="4" w:space="0" w:color="auto"/>
                  </w:tcBorders>
                  <w:shd w:val="clear" w:color="auto" w:fill="FFFFFF" w:themeFill="background1"/>
                  <w:tcMar>
                    <w:bottom w:w="0" w:type="dxa"/>
                  </w:tcMar>
                  <w:vAlign w:val="bottom"/>
                </w:tcPr>
                <w:p w:rsidR="00F92AD3" w:rsidRPr="00127926" w:rsidRDefault="00F92AD3" w:rsidP="00C175D6">
                  <w:pPr>
                    <w:spacing w:after="0"/>
                    <w:jc w:val="center"/>
                    <w:rPr>
                      <w:sz w:val="20"/>
                    </w:rPr>
                  </w:pPr>
                </w:p>
              </w:tc>
              <w:tc>
                <w:tcPr>
                  <w:tcW w:w="1183" w:type="dxa"/>
                  <w:tcBorders>
                    <w:bottom w:val="single" w:sz="4" w:space="0" w:color="auto"/>
                  </w:tcBorders>
                  <w:shd w:val="clear" w:color="auto" w:fill="C6D9F1" w:themeFill="text2" w:themeFillTint="33"/>
                  <w:tcMar>
                    <w:bottom w:w="0" w:type="dxa"/>
                  </w:tcMar>
                  <w:vAlign w:val="bottom"/>
                </w:tcPr>
                <w:p w:rsidR="00AA76F9" w:rsidRDefault="00F92AD3" w:rsidP="005966E9">
                  <w:pPr>
                    <w:spacing w:after="0"/>
                    <w:jc w:val="center"/>
                    <w:rPr>
                      <w:b/>
                      <w:sz w:val="18"/>
                      <w:szCs w:val="18"/>
                    </w:rPr>
                  </w:pPr>
                  <w:r>
                    <w:rPr>
                      <w:b/>
                      <w:sz w:val="18"/>
                      <w:szCs w:val="18"/>
                    </w:rPr>
                    <w:t>Paul J. Varello</w:t>
                  </w:r>
                  <w:r w:rsidR="00C3159B">
                    <w:rPr>
                      <w:b/>
                      <w:sz w:val="18"/>
                      <w:szCs w:val="18"/>
                    </w:rPr>
                    <w:t xml:space="preserve"> </w:t>
                  </w:r>
                </w:p>
                <w:p w:rsidR="00F92AD3" w:rsidRPr="00395AF5" w:rsidRDefault="00C3159B" w:rsidP="005966E9">
                  <w:pPr>
                    <w:spacing w:after="0"/>
                    <w:jc w:val="center"/>
                    <w:rPr>
                      <w:b/>
                      <w:sz w:val="18"/>
                      <w:szCs w:val="18"/>
                    </w:rPr>
                  </w:pPr>
                  <w:r w:rsidRPr="00C3159B">
                    <w:rPr>
                      <w:sz w:val="18"/>
                      <w:szCs w:val="18"/>
                      <w:vertAlign w:val="superscript"/>
                    </w:rPr>
                    <w:t>(1)</w:t>
                  </w:r>
                  <w:r w:rsidR="00B41B46">
                    <w:rPr>
                      <w:sz w:val="18"/>
                      <w:szCs w:val="18"/>
                      <w:vertAlign w:val="superscript"/>
                    </w:rPr>
                    <w:t>(2</w:t>
                  </w:r>
                  <w:r w:rsidR="00B41B46" w:rsidRPr="00C3159B">
                    <w:rPr>
                      <w:sz w:val="18"/>
                      <w:szCs w:val="18"/>
                      <w:vertAlign w:val="superscript"/>
                    </w:rPr>
                    <w:t>)</w:t>
                  </w:r>
                </w:p>
              </w:tc>
              <w:tc>
                <w:tcPr>
                  <w:tcW w:w="1390" w:type="dxa"/>
                  <w:tcBorders>
                    <w:bottom w:val="single" w:sz="4" w:space="0" w:color="auto"/>
                  </w:tcBorders>
                  <w:shd w:val="clear" w:color="auto" w:fill="FFFFFF" w:themeFill="background1"/>
                  <w:tcMar>
                    <w:bottom w:w="0" w:type="dxa"/>
                  </w:tcMar>
                  <w:vAlign w:val="bottom"/>
                </w:tcPr>
                <w:p w:rsidR="00F92AD3" w:rsidRPr="00395AF5" w:rsidRDefault="00F92AD3" w:rsidP="00AA76F9">
                  <w:pPr>
                    <w:spacing w:after="0"/>
                    <w:jc w:val="center"/>
                    <w:rPr>
                      <w:b/>
                      <w:sz w:val="18"/>
                      <w:szCs w:val="18"/>
                    </w:rPr>
                  </w:pPr>
                  <w:r>
                    <w:rPr>
                      <w:b/>
                      <w:sz w:val="18"/>
                      <w:szCs w:val="18"/>
                    </w:rPr>
                    <w:t>Ronald A. Ballschmiede</w:t>
                  </w:r>
                  <w:r w:rsidR="00AA76F9">
                    <w:rPr>
                      <w:b/>
                      <w:sz w:val="18"/>
                      <w:szCs w:val="18"/>
                    </w:rPr>
                    <w:t xml:space="preserve"> </w:t>
                  </w:r>
                  <w:r w:rsidR="00AA76F9" w:rsidRPr="00C3159B">
                    <w:rPr>
                      <w:sz w:val="18"/>
                      <w:szCs w:val="18"/>
                      <w:vertAlign w:val="superscript"/>
                    </w:rPr>
                    <w:t>(1)</w:t>
                  </w:r>
                  <w:r w:rsidR="00C3159B" w:rsidRPr="00C3159B">
                    <w:rPr>
                      <w:sz w:val="18"/>
                      <w:szCs w:val="18"/>
                      <w:vertAlign w:val="superscript"/>
                    </w:rPr>
                    <w:t>(</w:t>
                  </w:r>
                  <w:r w:rsidR="00C175D6">
                    <w:rPr>
                      <w:sz w:val="18"/>
                      <w:szCs w:val="18"/>
                      <w:vertAlign w:val="superscript"/>
                    </w:rPr>
                    <w:t>3</w:t>
                  </w:r>
                  <w:r w:rsidR="00C3159B" w:rsidRPr="00C3159B">
                    <w:rPr>
                      <w:sz w:val="18"/>
                      <w:szCs w:val="18"/>
                      <w:vertAlign w:val="superscript"/>
                    </w:rPr>
                    <w:t>)</w:t>
                  </w:r>
                </w:p>
              </w:tc>
              <w:tc>
                <w:tcPr>
                  <w:tcW w:w="1047" w:type="dxa"/>
                  <w:tcBorders>
                    <w:bottom w:val="single" w:sz="4" w:space="0" w:color="auto"/>
                  </w:tcBorders>
                  <w:shd w:val="clear" w:color="auto" w:fill="C6D9F1" w:themeFill="text2" w:themeFillTint="33"/>
                  <w:tcMar>
                    <w:bottom w:w="0" w:type="dxa"/>
                  </w:tcMar>
                  <w:vAlign w:val="bottom"/>
                </w:tcPr>
                <w:p w:rsidR="00AA76F9" w:rsidRDefault="00F92AD3" w:rsidP="005966E9">
                  <w:pPr>
                    <w:spacing w:after="0"/>
                    <w:jc w:val="center"/>
                    <w:rPr>
                      <w:b/>
                      <w:sz w:val="18"/>
                      <w:szCs w:val="18"/>
                    </w:rPr>
                  </w:pPr>
                  <w:r>
                    <w:rPr>
                      <w:b/>
                      <w:sz w:val="18"/>
                      <w:szCs w:val="18"/>
                    </w:rPr>
                    <w:t>Roger M. Barzun</w:t>
                  </w:r>
                </w:p>
                <w:p w:rsidR="00F92AD3" w:rsidRPr="00395AF5" w:rsidRDefault="005966E9" w:rsidP="005966E9">
                  <w:pPr>
                    <w:spacing w:after="0"/>
                    <w:jc w:val="center"/>
                    <w:rPr>
                      <w:b/>
                      <w:sz w:val="18"/>
                      <w:szCs w:val="18"/>
                    </w:rPr>
                  </w:pPr>
                  <w:r w:rsidRPr="00C3159B">
                    <w:rPr>
                      <w:sz w:val="18"/>
                      <w:szCs w:val="18"/>
                      <w:vertAlign w:val="superscript"/>
                    </w:rPr>
                    <w:t>(</w:t>
                  </w:r>
                  <w:r>
                    <w:rPr>
                      <w:sz w:val="18"/>
                      <w:szCs w:val="18"/>
                      <w:vertAlign w:val="superscript"/>
                    </w:rPr>
                    <w:t>1</w:t>
                  </w:r>
                  <w:r w:rsidRPr="00C3159B">
                    <w:rPr>
                      <w:sz w:val="18"/>
                      <w:szCs w:val="18"/>
                      <w:vertAlign w:val="superscript"/>
                    </w:rPr>
                    <w:t>)</w:t>
                  </w:r>
                  <w:r w:rsidR="00C3159B" w:rsidRPr="00C3159B">
                    <w:rPr>
                      <w:sz w:val="18"/>
                      <w:szCs w:val="18"/>
                      <w:vertAlign w:val="superscript"/>
                    </w:rPr>
                    <w:t>(</w:t>
                  </w:r>
                  <w:r w:rsidR="00C175D6">
                    <w:rPr>
                      <w:sz w:val="18"/>
                      <w:szCs w:val="18"/>
                      <w:vertAlign w:val="superscript"/>
                    </w:rPr>
                    <w:t>4</w:t>
                  </w:r>
                  <w:r w:rsidR="00C3159B" w:rsidRPr="00C3159B">
                    <w:rPr>
                      <w:sz w:val="18"/>
                      <w:szCs w:val="18"/>
                      <w:vertAlign w:val="superscript"/>
                    </w:rPr>
                    <w:t>)</w:t>
                  </w:r>
                </w:p>
              </w:tc>
              <w:tc>
                <w:tcPr>
                  <w:tcW w:w="993" w:type="dxa"/>
                  <w:tcBorders>
                    <w:bottom w:val="single" w:sz="4" w:space="0" w:color="auto"/>
                  </w:tcBorders>
                  <w:shd w:val="clear" w:color="auto" w:fill="FFFFFF" w:themeFill="background1"/>
                  <w:tcMar>
                    <w:bottom w:w="0" w:type="dxa"/>
                  </w:tcMar>
                  <w:vAlign w:val="bottom"/>
                </w:tcPr>
                <w:p w:rsidR="00AA76F9" w:rsidRDefault="00F92AD3" w:rsidP="005966E9">
                  <w:pPr>
                    <w:spacing w:after="0"/>
                    <w:jc w:val="center"/>
                    <w:rPr>
                      <w:b/>
                      <w:sz w:val="18"/>
                      <w:szCs w:val="18"/>
                    </w:rPr>
                  </w:pPr>
                  <w:r>
                    <w:rPr>
                      <w:b/>
                      <w:sz w:val="18"/>
                      <w:szCs w:val="18"/>
                    </w:rPr>
                    <w:t>Kevan M. Blair</w:t>
                  </w:r>
                </w:p>
                <w:p w:rsidR="00F92AD3" w:rsidRPr="00395AF5" w:rsidRDefault="00C3159B" w:rsidP="005966E9">
                  <w:pPr>
                    <w:spacing w:after="0"/>
                    <w:jc w:val="center"/>
                    <w:rPr>
                      <w:b/>
                      <w:sz w:val="18"/>
                      <w:szCs w:val="18"/>
                    </w:rPr>
                  </w:pPr>
                  <w:r w:rsidRPr="00C3159B">
                    <w:rPr>
                      <w:sz w:val="18"/>
                      <w:szCs w:val="18"/>
                      <w:vertAlign w:val="superscript"/>
                    </w:rPr>
                    <w:t>(</w:t>
                  </w:r>
                  <w:r w:rsidR="00C175D6">
                    <w:rPr>
                      <w:sz w:val="18"/>
                      <w:szCs w:val="18"/>
                      <w:vertAlign w:val="superscript"/>
                    </w:rPr>
                    <w:t>5</w:t>
                  </w:r>
                  <w:r w:rsidRPr="00C3159B">
                    <w:rPr>
                      <w:sz w:val="18"/>
                      <w:szCs w:val="18"/>
                      <w:vertAlign w:val="superscript"/>
                    </w:rPr>
                    <w:t>)</w:t>
                  </w:r>
                </w:p>
              </w:tc>
              <w:tc>
                <w:tcPr>
                  <w:tcW w:w="1223" w:type="dxa"/>
                  <w:tcBorders>
                    <w:bottom w:val="single" w:sz="4" w:space="0" w:color="auto"/>
                  </w:tcBorders>
                  <w:shd w:val="clear" w:color="auto" w:fill="C6D9F1" w:themeFill="text2" w:themeFillTint="33"/>
                  <w:tcMar>
                    <w:bottom w:w="0" w:type="dxa"/>
                  </w:tcMar>
                  <w:vAlign w:val="bottom"/>
                </w:tcPr>
                <w:p w:rsidR="00AA76F9" w:rsidRDefault="00F92AD3" w:rsidP="005966E9">
                  <w:pPr>
                    <w:spacing w:after="0"/>
                    <w:jc w:val="center"/>
                    <w:rPr>
                      <w:b/>
                      <w:sz w:val="18"/>
                      <w:szCs w:val="18"/>
                    </w:rPr>
                  </w:pPr>
                  <w:r w:rsidRPr="00395AF5">
                    <w:rPr>
                      <w:b/>
                      <w:sz w:val="18"/>
                      <w:szCs w:val="18"/>
                    </w:rPr>
                    <w:t>Peter E. MacKenna</w:t>
                  </w:r>
                </w:p>
                <w:p w:rsidR="00F92AD3" w:rsidRPr="00395AF5" w:rsidRDefault="00C3159B" w:rsidP="005966E9">
                  <w:pPr>
                    <w:spacing w:after="0"/>
                    <w:jc w:val="center"/>
                    <w:rPr>
                      <w:b/>
                      <w:sz w:val="18"/>
                      <w:szCs w:val="18"/>
                    </w:rPr>
                  </w:pPr>
                  <w:r w:rsidRPr="00C3159B">
                    <w:rPr>
                      <w:sz w:val="18"/>
                      <w:szCs w:val="18"/>
                      <w:vertAlign w:val="superscript"/>
                    </w:rPr>
                    <w:t>(</w:t>
                  </w:r>
                  <w:r w:rsidR="00C175D6">
                    <w:rPr>
                      <w:sz w:val="18"/>
                      <w:szCs w:val="18"/>
                      <w:vertAlign w:val="superscript"/>
                    </w:rPr>
                    <w:t>6</w:t>
                  </w:r>
                  <w:r w:rsidRPr="00C3159B">
                    <w:rPr>
                      <w:sz w:val="18"/>
                      <w:szCs w:val="18"/>
                      <w:vertAlign w:val="superscript"/>
                    </w:rPr>
                    <w:t>)</w:t>
                  </w:r>
                </w:p>
              </w:tc>
              <w:tc>
                <w:tcPr>
                  <w:tcW w:w="1168" w:type="dxa"/>
                  <w:tcBorders>
                    <w:bottom w:val="single" w:sz="4" w:space="0" w:color="auto"/>
                  </w:tcBorders>
                  <w:shd w:val="clear" w:color="auto" w:fill="FFFFFF" w:themeFill="background1"/>
                  <w:tcMar>
                    <w:bottom w:w="0" w:type="dxa"/>
                  </w:tcMar>
                  <w:vAlign w:val="bottom"/>
                </w:tcPr>
                <w:p w:rsidR="00AA76F9" w:rsidRDefault="00F92AD3" w:rsidP="005966E9">
                  <w:pPr>
                    <w:spacing w:after="0"/>
                    <w:jc w:val="center"/>
                    <w:rPr>
                      <w:b/>
                      <w:sz w:val="18"/>
                      <w:szCs w:val="18"/>
                    </w:rPr>
                  </w:pPr>
                  <w:r w:rsidRPr="00395AF5">
                    <w:rPr>
                      <w:b/>
                      <w:sz w:val="18"/>
                      <w:szCs w:val="18"/>
                    </w:rPr>
                    <w:t>Thomas R. Wright</w:t>
                  </w:r>
                </w:p>
                <w:p w:rsidR="00F92AD3" w:rsidRPr="00395AF5" w:rsidRDefault="00C3159B" w:rsidP="005966E9">
                  <w:pPr>
                    <w:spacing w:after="0"/>
                    <w:jc w:val="center"/>
                    <w:rPr>
                      <w:b/>
                      <w:sz w:val="18"/>
                      <w:szCs w:val="18"/>
                    </w:rPr>
                  </w:pPr>
                  <w:r w:rsidRPr="00C3159B">
                    <w:rPr>
                      <w:sz w:val="18"/>
                      <w:szCs w:val="18"/>
                      <w:vertAlign w:val="superscript"/>
                    </w:rPr>
                    <w:t>(</w:t>
                  </w:r>
                  <w:r w:rsidR="00C175D6">
                    <w:rPr>
                      <w:sz w:val="18"/>
                      <w:szCs w:val="18"/>
                      <w:vertAlign w:val="superscript"/>
                    </w:rPr>
                    <w:t>7</w:t>
                  </w:r>
                  <w:r w:rsidRPr="00C3159B">
                    <w:rPr>
                      <w:sz w:val="18"/>
                      <w:szCs w:val="18"/>
                      <w:vertAlign w:val="superscript"/>
                    </w:rPr>
                    <w:t>)</w:t>
                  </w:r>
                </w:p>
              </w:tc>
            </w:tr>
            <w:tr w:rsidR="00B41B46" w:rsidRPr="00127926" w:rsidTr="000B1DD5">
              <w:trPr>
                <w:cantSplit/>
                <w:jc w:val="center"/>
              </w:trPr>
              <w:tc>
                <w:tcPr>
                  <w:tcW w:w="2217" w:type="dxa"/>
                  <w:tcBorders>
                    <w:top w:val="single" w:sz="4" w:space="0" w:color="auto"/>
                  </w:tcBorders>
                  <w:shd w:val="clear" w:color="auto" w:fill="FFFFFF" w:themeFill="background1"/>
                </w:tcPr>
                <w:p w:rsidR="00F92AD3" w:rsidRPr="00E84F84" w:rsidRDefault="003C76DF" w:rsidP="00E75BBD">
                  <w:pPr>
                    <w:spacing w:after="0"/>
                    <w:rPr>
                      <w:i/>
                      <w:sz w:val="20"/>
                    </w:rPr>
                  </w:pPr>
                  <w:r>
                    <w:rPr>
                      <w:i/>
                      <w:sz w:val="20"/>
                    </w:rPr>
                    <w:t xml:space="preserve">2015 </w:t>
                  </w:r>
                  <w:r w:rsidR="00F92AD3" w:rsidRPr="00E84F84">
                    <w:rPr>
                      <w:i/>
                      <w:sz w:val="20"/>
                    </w:rPr>
                    <w:t>Annual Salary</w:t>
                  </w:r>
                  <w:r w:rsidR="009B3701">
                    <w:rPr>
                      <w:i/>
                      <w:sz w:val="20"/>
                    </w:rPr>
                    <w:t xml:space="preserve"> ($)</w:t>
                  </w:r>
                </w:p>
              </w:tc>
              <w:tc>
                <w:tcPr>
                  <w:tcW w:w="1183" w:type="dxa"/>
                  <w:tcBorders>
                    <w:top w:val="single" w:sz="4" w:space="0" w:color="auto"/>
                  </w:tcBorders>
                  <w:shd w:val="clear" w:color="auto" w:fill="C6D9F1" w:themeFill="text2" w:themeFillTint="33"/>
                </w:tcPr>
                <w:p w:rsidR="00F92AD3" w:rsidRDefault="00F92AD3" w:rsidP="00E75BBD">
                  <w:pPr>
                    <w:spacing w:after="0"/>
                    <w:jc w:val="center"/>
                    <w:rPr>
                      <w:sz w:val="20"/>
                    </w:rPr>
                  </w:pPr>
                  <w:r>
                    <w:rPr>
                      <w:sz w:val="20"/>
                    </w:rPr>
                    <w:t>$1.00</w:t>
                  </w:r>
                </w:p>
              </w:tc>
              <w:tc>
                <w:tcPr>
                  <w:tcW w:w="1390" w:type="dxa"/>
                  <w:tcBorders>
                    <w:top w:val="single" w:sz="4" w:space="0" w:color="auto"/>
                  </w:tcBorders>
                  <w:shd w:val="clear" w:color="auto" w:fill="FFFFFF" w:themeFill="background1"/>
                </w:tcPr>
                <w:p w:rsidR="00F92AD3" w:rsidRDefault="005E27EC" w:rsidP="00E75BBD">
                  <w:pPr>
                    <w:spacing w:after="0"/>
                    <w:jc w:val="center"/>
                    <w:rPr>
                      <w:sz w:val="20"/>
                    </w:rPr>
                  </w:pPr>
                  <w:r>
                    <w:rPr>
                      <w:sz w:val="20"/>
                    </w:rPr>
                    <w:t>$</w:t>
                  </w:r>
                  <w:r w:rsidR="00F92AD3">
                    <w:rPr>
                      <w:sz w:val="20"/>
                    </w:rPr>
                    <w:t>400,000</w:t>
                  </w:r>
                </w:p>
              </w:tc>
              <w:tc>
                <w:tcPr>
                  <w:tcW w:w="1047" w:type="dxa"/>
                  <w:tcBorders>
                    <w:top w:val="single" w:sz="4" w:space="0" w:color="auto"/>
                  </w:tcBorders>
                  <w:shd w:val="clear" w:color="auto" w:fill="C6D9F1" w:themeFill="text2" w:themeFillTint="33"/>
                </w:tcPr>
                <w:p w:rsidR="00F92AD3" w:rsidRDefault="005E27EC" w:rsidP="00E7656E">
                  <w:pPr>
                    <w:spacing w:after="0"/>
                    <w:rPr>
                      <w:sz w:val="20"/>
                    </w:rPr>
                  </w:pPr>
                  <w:r>
                    <w:rPr>
                      <w:sz w:val="20"/>
                    </w:rPr>
                    <w:t>$</w:t>
                  </w:r>
                  <w:r w:rsidR="00E7656E">
                    <w:rPr>
                      <w:sz w:val="20"/>
                    </w:rPr>
                    <w:t>25</w:t>
                  </w:r>
                  <w:r w:rsidR="00F92AD3">
                    <w:rPr>
                      <w:sz w:val="20"/>
                    </w:rPr>
                    <w:t>0,000</w:t>
                  </w:r>
                </w:p>
              </w:tc>
              <w:tc>
                <w:tcPr>
                  <w:tcW w:w="993" w:type="dxa"/>
                  <w:tcBorders>
                    <w:top w:val="single" w:sz="4" w:space="0" w:color="auto"/>
                  </w:tcBorders>
                  <w:shd w:val="clear" w:color="auto" w:fill="FFFFFF" w:themeFill="background1"/>
                </w:tcPr>
                <w:p w:rsidR="00F92AD3" w:rsidRDefault="00F92AD3" w:rsidP="00E75BBD">
                  <w:pPr>
                    <w:spacing w:after="0"/>
                    <w:jc w:val="center"/>
                    <w:rPr>
                      <w:sz w:val="20"/>
                    </w:rPr>
                  </w:pPr>
                  <w:r>
                    <w:rPr>
                      <w:sz w:val="20"/>
                    </w:rPr>
                    <w:t>$250,000</w:t>
                  </w:r>
                </w:p>
              </w:tc>
              <w:tc>
                <w:tcPr>
                  <w:tcW w:w="1223" w:type="dxa"/>
                  <w:tcBorders>
                    <w:top w:val="single" w:sz="4" w:space="0" w:color="auto"/>
                  </w:tcBorders>
                  <w:shd w:val="clear" w:color="auto" w:fill="C6D9F1" w:themeFill="text2" w:themeFillTint="33"/>
                  <w:vAlign w:val="center"/>
                </w:tcPr>
                <w:p w:rsidR="00F92AD3" w:rsidRPr="00127926" w:rsidRDefault="00F92AD3" w:rsidP="00E75BBD">
                  <w:pPr>
                    <w:spacing w:after="0"/>
                    <w:jc w:val="center"/>
                    <w:rPr>
                      <w:sz w:val="20"/>
                    </w:rPr>
                  </w:pPr>
                  <w:r>
                    <w:rPr>
                      <w:sz w:val="20"/>
                    </w:rPr>
                    <w:t>$600,000</w:t>
                  </w:r>
                </w:p>
              </w:tc>
              <w:tc>
                <w:tcPr>
                  <w:tcW w:w="1168" w:type="dxa"/>
                  <w:tcBorders>
                    <w:top w:val="single" w:sz="4" w:space="0" w:color="auto"/>
                  </w:tcBorders>
                  <w:shd w:val="clear" w:color="auto" w:fill="FFFFFF" w:themeFill="background1"/>
                  <w:vAlign w:val="center"/>
                </w:tcPr>
                <w:p w:rsidR="00F92AD3" w:rsidRPr="00127926" w:rsidRDefault="00F92AD3" w:rsidP="00DD75F9">
                  <w:pPr>
                    <w:spacing w:after="0"/>
                    <w:jc w:val="center"/>
                    <w:rPr>
                      <w:sz w:val="20"/>
                    </w:rPr>
                  </w:pPr>
                  <w:r>
                    <w:rPr>
                      <w:sz w:val="20"/>
                    </w:rPr>
                    <w:t>$3</w:t>
                  </w:r>
                  <w:r w:rsidR="00DD75F9">
                    <w:rPr>
                      <w:sz w:val="20"/>
                    </w:rPr>
                    <w:t>7</w:t>
                  </w:r>
                  <w:r>
                    <w:rPr>
                      <w:sz w:val="20"/>
                    </w:rPr>
                    <w:t>5,000</w:t>
                  </w:r>
                </w:p>
              </w:tc>
            </w:tr>
            <w:tr w:rsidR="00B41B46" w:rsidRPr="00127926" w:rsidTr="000B1DD5">
              <w:trPr>
                <w:cantSplit/>
                <w:jc w:val="center"/>
              </w:trPr>
              <w:tc>
                <w:tcPr>
                  <w:tcW w:w="2217" w:type="dxa"/>
                  <w:shd w:val="clear" w:color="auto" w:fill="FFFFFF" w:themeFill="background1"/>
                </w:tcPr>
                <w:p w:rsidR="003C76DF" w:rsidRDefault="005E27EC" w:rsidP="00B41B46">
                  <w:pPr>
                    <w:spacing w:after="0"/>
                    <w:jc w:val="left"/>
                    <w:rPr>
                      <w:i/>
                      <w:sz w:val="20"/>
                    </w:rPr>
                  </w:pPr>
                  <w:r>
                    <w:rPr>
                      <w:i/>
                      <w:sz w:val="20"/>
                    </w:rPr>
                    <w:t>2015 Cash I</w:t>
                  </w:r>
                  <w:r w:rsidR="003C76DF">
                    <w:rPr>
                      <w:i/>
                      <w:sz w:val="20"/>
                    </w:rPr>
                    <w:t>ncentive Compensation</w:t>
                  </w:r>
                  <w:r w:rsidR="00B41B46">
                    <w:rPr>
                      <w:i/>
                      <w:sz w:val="20"/>
                    </w:rPr>
                    <w:t>/</w:t>
                  </w:r>
                  <w:r w:rsidR="003C76DF">
                    <w:rPr>
                      <w:i/>
                      <w:sz w:val="20"/>
                    </w:rPr>
                    <w:t>Bonus</w:t>
                  </w:r>
                </w:p>
              </w:tc>
              <w:tc>
                <w:tcPr>
                  <w:tcW w:w="1183" w:type="dxa"/>
                  <w:shd w:val="clear" w:color="auto" w:fill="C6D9F1" w:themeFill="text2" w:themeFillTint="33"/>
                  <w:vAlign w:val="bottom"/>
                </w:tcPr>
                <w:p w:rsidR="003C76DF" w:rsidRDefault="003C76DF" w:rsidP="005E27EC">
                  <w:pPr>
                    <w:spacing w:after="0"/>
                    <w:jc w:val="center"/>
                    <w:rPr>
                      <w:sz w:val="20"/>
                    </w:rPr>
                  </w:pPr>
                  <w:r>
                    <w:rPr>
                      <w:sz w:val="20"/>
                    </w:rPr>
                    <w:t>—</w:t>
                  </w:r>
                </w:p>
              </w:tc>
              <w:tc>
                <w:tcPr>
                  <w:tcW w:w="1390" w:type="dxa"/>
                  <w:shd w:val="clear" w:color="auto" w:fill="FFFFFF" w:themeFill="background1"/>
                  <w:vAlign w:val="bottom"/>
                </w:tcPr>
                <w:p w:rsidR="003C76DF" w:rsidRDefault="003C76DF" w:rsidP="005E27EC">
                  <w:pPr>
                    <w:spacing w:after="0"/>
                    <w:jc w:val="center"/>
                    <w:rPr>
                      <w:sz w:val="20"/>
                    </w:rPr>
                  </w:pPr>
                  <w:r>
                    <w:rPr>
                      <w:sz w:val="20"/>
                    </w:rPr>
                    <w:t>—</w:t>
                  </w:r>
                </w:p>
              </w:tc>
              <w:tc>
                <w:tcPr>
                  <w:tcW w:w="1047" w:type="dxa"/>
                  <w:shd w:val="clear" w:color="auto" w:fill="C6D9F1" w:themeFill="text2" w:themeFillTint="33"/>
                  <w:vAlign w:val="bottom"/>
                </w:tcPr>
                <w:p w:rsidR="003C76DF" w:rsidRDefault="003C76DF" w:rsidP="005E27EC">
                  <w:pPr>
                    <w:spacing w:after="0"/>
                    <w:jc w:val="center"/>
                    <w:rPr>
                      <w:sz w:val="20"/>
                    </w:rPr>
                  </w:pPr>
                  <w:r>
                    <w:rPr>
                      <w:sz w:val="20"/>
                    </w:rPr>
                    <w:t>—</w:t>
                  </w:r>
                </w:p>
              </w:tc>
              <w:tc>
                <w:tcPr>
                  <w:tcW w:w="993" w:type="dxa"/>
                  <w:shd w:val="clear" w:color="auto" w:fill="FFFFFF" w:themeFill="background1"/>
                  <w:vAlign w:val="bottom"/>
                </w:tcPr>
                <w:p w:rsidR="003C76DF" w:rsidRPr="005F0E14" w:rsidRDefault="003C76DF" w:rsidP="005F0E14">
                  <w:pPr>
                    <w:spacing w:after="0"/>
                    <w:jc w:val="center"/>
                    <w:rPr>
                      <w:sz w:val="20"/>
                    </w:rPr>
                  </w:pPr>
                  <w:r w:rsidRPr="005F0E14">
                    <w:rPr>
                      <w:sz w:val="20"/>
                    </w:rPr>
                    <w:t>$</w:t>
                  </w:r>
                  <w:r w:rsidR="005F0E14" w:rsidRPr="005F0E14">
                    <w:rPr>
                      <w:sz w:val="20"/>
                    </w:rPr>
                    <w:t>7</w:t>
                  </w:r>
                  <w:r w:rsidRPr="005F0E14">
                    <w:rPr>
                      <w:sz w:val="20"/>
                    </w:rPr>
                    <w:t>5,000</w:t>
                  </w:r>
                </w:p>
              </w:tc>
              <w:tc>
                <w:tcPr>
                  <w:tcW w:w="1223" w:type="dxa"/>
                  <w:shd w:val="clear" w:color="auto" w:fill="C6D9F1" w:themeFill="text2" w:themeFillTint="33"/>
                  <w:vAlign w:val="bottom"/>
                </w:tcPr>
                <w:p w:rsidR="003C76DF" w:rsidRDefault="003C76DF" w:rsidP="005E27EC">
                  <w:pPr>
                    <w:spacing w:after="0"/>
                    <w:jc w:val="center"/>
                    <w:rPr>
                      <w:sz w:val="20"/>
                    </w:rPr>
                  </w:pPr>
                  <w:r>
                    <w:rPr>
                      <w:sz w:val="20"/>
                    </w:rPr>
                    <w:t>720,000</w:t>
                  </w:r>
                </w:p>
              </w:tc>
              <w:tc>
                <w:tcPr>
                  <w:tcW w:w="1168" w:type="dxa"/>
                  <w:shd w:val="clear" w:color="auto" w:fill="FFFFFF" w:themeFill="background1"/>
                  <w:vAlign w:val="bottom"/>
                </w:tcPr>
                <w:p w:rsidR="003C76DF" w:rsidRDefault="003C76DF" w:rsidP="005E27EC">
                  <w:pPr>
                    <w:spacing w:after="0"/>
                    <w:jc w:val="center"/>
                    <w:rPr>
                      <w:sz w:val="20"/>
                    </w:rPr>
                  </w:pPr>
                  <w:r>
                    <w:rPr>
                      <w:sz w:val="20"/>
                    </w:rPr>
                    <w:t>—</w:t>
                  </w:r>
                </w:p>
              </w:tc>
            </w:tr>
            <w:tr w:rsidR="00B41B46" w:rsidRPr="00127926" w:rsidTr="000B1DD5">
              <w:trPr>
                <w:cantSplit/>
                <w:jc w:val="center"/>
              </w:trPr>
              <w:tc>
                <w:tcPr>
                  <w:tcW w:w="2217" w:type="dxa"/>
                  <w:shd w:val="clear" w:color="auto" w:fill="FFFFFF" w:themeFill="background1"/>
                </w:tcPr>
                <w:p w:rsidR="009B3701" w:rsidRPr="00E84F84" w:rsidRDefault="009B3701" w:rsidP="009B3701">
                  <w:pPr>
                    <w:spacing w:after="0"/>
                    <w:jc w:val="left"/>
                    <w:rPr>
                      <w:i/>
                      <w:sz w:val="20"/>
                    </w:rPr>
                  </w:pPr>
                  <w:r>
                    <w:rPr>
                      <w:i/>
                      <w:sz w:val="20"/>
                    </w:rPr>
                    <w:t>2015 Stock Awards (#)</w:t>
                  </w:r>
                </w:p>
              </w:tc>
              <w:tc>
                <w:tcPr>
                  <w:tcW w:w="1183" w:type="dxa"/>
                  <w:shd w:val="clear" w:color="auto" w:fill="C6D9F1" w:themeFill="text2" w:themeFillTint="33"/>
                </w:tcPr>
                <w:p w:rsidR="009B3701" w:rsidRDefault="009B3701" w:rsidP="00E75BBD">
                  <w:pPr>
                    <w:spacing w:after="0"/>
                    <w:jc w:val="center"/>
                    <w:rPr>
                      <w:sz w:val="20"/>
                    </w:rPr>
                  </w:pPr>
                  <w:r>
                    <w:rPr>
                      <w:sz w:val="20"/>
                    </w:rPr>
                    <w:t>600,000</w:t>
                  </w:r>
                </w:p>
              </w:tc>
              <w:tc>
                <w:tcPr>
                  <w:tcW w:w="1390" w:type="dxa"/>
                  <w:shd w:val="clear" w:color="auto" w:fill="FFFFFF" w:themeFill="background1"/>
                </w:tcPr>
                <w:p w:rsidR="009B3701" w:rsidRDefault="009B3701" w:rsidP="00E75BBD">
                  <w:pPr>
                    <w:spacing w:after="0"/>
                    <w:jc w:val="center"/>
                    <w:rPr>
                      <w:sz w:val="20"/>
                    </w:rPr>
                  </w:pPr>
                  <w:r>
                    <w:rPr>
                      <w:sz w:val="20"/>
                    </w:rPr>
                    <w:t>100,000</w:t>
                  </w:r>
                </w:p>
              </w:tc>
              <w:tc>
                <w:tcPr>
                  <w:tcW w:w="1047" w:type="dxa"/>
                  <w:shd w:val="clear" w:color="auto" w:fill="C6D9F1" w:themeFill="text2" w:themeFillTint="33"/>
                </w:tcPr>
                <w:p w:rsidR="009B3701" w:rsidRDefault="009B3701" w:rsidP="00E75BBD">
                  <w:pPr>
                    <w:spacing w:after="0"/>
                    <w:jc w:val="center"/>
                    <w:rPr>
                      <w:sz w:val="20"/>
                    </w:rPr>
                  </w:pPr>
                  <w:r>
                    <w:rPr>
                      <w:sz w:val="20"/>
                    </w:rPr>
                    <w:t>—</w:t>
                  </w:r>
                </w:p>
              </w:tc>
              <w:tc>
                <w:tcPr>
                  <w:tcW w:w="993" w:type="dxa"/>
                  <w:shd w:val="clear" w:color="auto" w:fill="FFFFFF" w:themeFill="background1"/>
                </w:tcPr>
                <w:p w:rsidR="009B3701" w:rsidRDefault="009B3701" w:rsidP="009B3701">
                  <w:pPr>
                    <w:spacing w:after="0"/>
                    <w:jc w:val="center"/>
                    <w:rPr>
                      <w:sz w:val="20"/>
                    </w:rPr>
                  </w:pPr>
                  <w:r>
                    <w:rPr>
                      <w:sz w:val="20"/>
                    </w:rPr>
                    <w:t>3,971</w:t>
                  </w:r>
                </w:p>
              </w:tc>
              <w:tc>
                <w:tcPr>
                  <w:tcW w:w="1223" w:type="dxa"/>
                  <w:shd w:val="clear" w:color="auto" w:fill="C6D9F1" w:themeFill="text2" w:themeFillTint="33"/>
                </w:tcPr>
                <w:p w:rsidR="009B3701" w:rsidRDefault="009B3701" w:rsidP="009B3701">
                  <w:pPr>
                    <w:spacing w:after="0"/>
                    <w:jc w:val="center"/>
                    <w:rPr>
                      <w:sz w:val="20"/>
                    </w:rPr>
                  </w:pPr>
                  <w:r>
                    <w:rPr>
                      <w:sz w:val="20"/>
                    </w:rPr>
                    <w:t>—</w:t>
                  </w:r>
                </w:p>
              </w:tc>
              <w:tc>
                <w:tcPr>
                  <w:tcW w:w="1168" w:type="dxa"/>
                  <w:shd w:val="clear" w:color="auto" w:fill="FFFFFF" w:themeFill="background1"/>
                </w:tcPr>
                <w:p w:rsidR="00115A17" w:rsidRDefault="005B4D01" w:rsidP="00445D66">
                  <w:pPr>
                    <w:spacing w:after="0"/>
                    <w:jc w:val="center"/>
                    <w:rPr>
                      <w:sz w:val="20"/>
                    </w:rPr>
                  </w:pPr>
                  <w:r>
                    <w:rPr>
                      <w:sz w:val="20"/>
                    </w:rPr>
                    <w:t>136,259</w:t>
                  </w:r>
                </w:p>
              </w:tc>
            </w:tr>
            <w:tr w:rsidR="00B41B46" w:rsidRPr="00127926" w:rsidTr="000B1DD5">
              <w:trPr>
                <w:cantSplit/>
                <w:jc w:val="center"/>
              </w:trPr>
              <w:tc>
                <w:tcPr>
                  <w:tcW w:w="2217" w:type="dxa"/>
                  <w:tcBorders>
                    <w:bottom w:val="single" w:sz="4" w:space="0" w:color="auto"/>
                  </w:tcBorders>
                  <w:shd w:val="clear" w:color="auto" w:fill="FFFFFF" w:themeFill="background1"/>
                </w:tcPr>
                <w:p w:rsidR="009B3701" w:rsidRDefault="009B3701" w:rsidP="009B3701">
                  <w:pPr>
                    <w:spacing w:after="0"/>
                    <w:jc w:val="left"/>
                    <w:rPr>
                      <w:i/>
                      <w:sz w:val="20"/>
                    </w:rPr>
                  </w:pPr>
                  <w:r>
                    <w:rPr>
                      <w:i/>
                      <w:sz w:val="20"/>
                    </w:rPr>
                    <w:t>2015 Stock Awards ($)</w:t>
                  </w:r>
                  <w:r w:rsidR="00C175D6">
                    <w:rPr>
                      <w:sz w:val="18"/>
                      <w:szCs w:val="18"/>
                      <w:vertAlign w:val="superscript"/>
                    </w:rPr>
                    <w:t>(8</w:t>
                  </w:r>
                  <w:r w:rsidR="00C175D6" w:rsidRPr="00C3159B">
                    <w:rPr>
                      <w:sz w:val="18"/>
                      <w:szCs w:val="18"/>
                      <w:vertAlign w:val="superscript"/>
                    </w:rPr>
                    <w:t>)</w:t>
                  </w:r>
                </w:p>
              </w:tc>
              <w:tc>
                <w:tcPr>
                  <w:tcW w:w="1183" w:type="dxa"/>
                  <w:tcBorders>
                    <w:bottom w:val="single" w:sz="4" w:space="0" w:color="auto"/>
                  </w:tcBorders>
                  <w:shd w:val="clear" w:color="auto" w:fill="C6D9F1" w:themeFill="text2" w:themeFillTint="33"/>
                </w:tcPr>
                <w:p w:rsidR="009B3701" w:rsidRDefault="005C42FD" w:rsidP="00760420">
                  <w:pPr>
                    <w:spacing w:after="0"/>
                    <w:jc w:val="center"/>
                    <w:rPr>
                      <w:sz w:val="20"/>
                    </w:rPr>
                  </w:pPr>
                  <w:r>
                    <w:rPr>
                      <w:sz w:val="20"/>
                    </w:rPr>
                    <w:t>$</w:t>
                  </w:r>
                  <w:r w:rsidR="00760420">
                    <w:rPr>
                      <w:sz w:val="20"/>
                    </w:rPr>
                    <w:t>1,932,000</w:t>
                  </w:r>
                </w:p>
              </w:tc>
              <w:tc>
                <w:tcPr>
                  <w:tcW w:w="1390" w:type="dxa"/>
                  <w:tcBorders>
                    <w:bottom w:val="single" w:sz="4" w:space="0" w:color="auto"/>
                  </w:tcBorders>
                  <w:shd w:val="clear" w:color="auto" w:fill="FFFFFF" w:themeFill="background1"/>
                </w:tcPr>
                <w:p w:rsidR="009B3701" w:rsidRDefault="005C42FD" w:rsidP="00760420">
                  <w:pPr>
                    <w:spacing w:after="0"/>
                    <w:jc w:val="center"/>
                    <w:rPr>
                      <w:sz w:val="20"/>
                    </w:rPr>
                  </w:pPr>
                  <w:r>
                    <w:rPr>
                      <w:sz w:val="20"/>
                    </w:rPr>
                    <w:t>$</w:t>
                  </w:r>
                  <w:r w:rsidR="00760420">
                    <w:rPr>
                      <w:sz w:val="20"/>
                    </w:rPr>
                    <w:t>467</w:t>
                  </w:r>
                  <w:r w:rsidR="009B3701">
                    <w:rPr>
                      <w:sz w:val="20"/>
                    </w:rPr>
                    <w:t>,000</w:t>
                  </w:r>
                </w:p>
              </w:tc>
              <w:tc>
                <w:tcPr>
                  <w:tcW w:w="1047" w:type="dxa"/>
                  <w:tcBorders>
                    <w:bottom w:val="single" w:sz="4" w:space="0" w:color="auto"/>
                  </w:tcBorders>
                  <w:shd w:val="clear" w:color="auto" w:fill="C6D9F1" w:themeFill="text2" w:themeFillTint="33"/>
                </w:tcPr>
                <w:p w:rsidR="009B3701" w:rsidRDefault="009B3701" w:rsidP="00E75BBD">
                  <w:pPr>
                    <w:spacing w:after="0"/>
                    <w:jc w:val="center"/>
                    <w:rPr>
                      <w:sz w:val="20"/>
                    </w:rPr>
                  </w:pPr>
                  <w:r>
                    <w:rPr>
                      <w:sz w:val="20"/>
                    </w:rPr>
                    <w:t>—</w:t>
                  </w:r>
                </w:p>
              </w:tc>
              <w:tc>
                <w:tcPr>
                  <w:tcW w:w="993" w:type="dxa"/>
                  <w:tcBorders>
                    <w:bottom w:val="single" w:sz="4" w:space="0" w:color="auto"/>
                  </w:tcBorders>
                  <w:shd w:val="clear" w:color="auto" w:fill="FFFFFF" w:themeFill="background1"/>
                </w:tcPr>
                <w:p w:rsidR="009B3701" w:rsidRDefault="005C42FD" w:rsidP="00E75BBD">
                  <w:pPr>
                    <w:spacing w:after="0"/>
                    <w:jc w:val="center"/>
                    <w:rPr>
                      <w:sz w:val="20"/>
                    </w:rPr>
                  </w:pPr>
                  <w:r>
                    <w:rPr>
                      <w:sz w:val="20"/>
                    </w:rPr>
                    <w:t>$</w:t>
                  </w:r>
                  <w:r w:rsidR="009B3701">
                    <w:rPr>
                      <w:sz w:val="20"/>
                    </w:rPr>
                    <w:t>24,422</w:t>
                  </w:r>
                </w:p>
              </w:tc>
              <w:tc>
                <w:tcPr>
                  <w:tcW w:w="1223" w:type="dxa"/>
                  <w:tcBorders>
                    <w:bottom w:val="single" w:sz="4" w:space="0" w:color="auto"/>
                  </w:tcBorders>
                  <w:shd w:val="clear" w:color="auto" w:fill="C6D9F1" w:themeFill="text2" w:themeFillTint="33"/>
                </w:tcPr>
                <w:p w:rsidR="009B3701" w:rsidRDefault="009B3701" w:rsidP="009B3701">
                  <w:pPr>
                    <w:spacing w:after="0"/>
                    <w:jc w:val="center"/>
                    <w:rPr>
                      <w:sz w:val="20"/>
                    </w:rPr>
                  </w:pPr>
                  <w:r>
                    <w:rPr>
                      <w:sz w:val="20"/>
                    </w:rPr>
                    <w:t>—</w:t>
                  </w:r>
                </w:p>
              </w:tc>
              <w:tc>
                <w:tcPr>
                  <w:tcW w:w="1168" w:type="dxa"/>
                  <w:tcBorders>
                    <w:bottom w:val="single" w:sz="4" w:space="0" w:color="auto"/>
                  </w:tcBorders>
                  <w:shd w:val="clear" w:color="auto" w:fill="FFFFFF" w:themeFill="background1"/>
                </w:tcPr>
                <w:p w:rsidR="009B3701" w:rsidRDefault="005C42FD" w:rsidP="00285DF6">
                  <w:pPr>
                    <w:spacing w:after="0"/>
                    <w:jc w:val="center"/>
                    <w:rPr>
                      <w:sz w:val="20"/>
                    </w:rPr>
                  </w:pPr>
                  <w:r>
                    <w:rPr>
                      <w:sz w:val="20"/>
                    </w:rPr>
                    <w:t>$</w:t>
                  </w:r>
                  <w:r w:rsidR="00285DF6">
                    <w:rPr>
                      <w:sz w:val="20"/>
                    </w:rPr>
                    <w:t>629,385</w:t>
                  </w:r>
                  <w:r w:rsidR="00445D66" w:rsidRPr="00445D66">
                    <w:rPr>
                      <w:sz w:val="20"/>
                      <w:vertAlign w:val="superscript"/>
                    </w:rPr>
                    <w:t>(9)</w:t>
                  </w:r>
                </w:p>
              </w:tc>
            </w:tr>
          </w:tbl>
          <w:p w:rsidR="00B41B46" w:rsidRDefault="003C76DF" w:rsidP="006F1B4F">
            <w:pPr>
              <w:pStyle w:val="ListParagraph"/>
              <w:keepNext/>
              <w:numPr>
                <w:ilvl w:val="0"/>
                <w:numId w:val="43"/>
              </w:numPr>
              <w:tabs>
                <w:tab w:val="left" w:pos="380"/>
              </w:tabs>
              <w:spacing w:before="100" w:after="40"/>
              <w:contextualSpacing w:val="0"/>
              <w:jc w:val="left"/>
              <w:rPr>
                <w:sz w:val="20"/>
              </w:rPr>
            </w:pPr>
            <w:r w:rsidRPr="006F1B4F">
              <w:rPr>
                <w:sz w:val="20"/>
              </w:rPr>
              <w:t xml:space="preserve">Messrs. Varello, Ballschmiede and Barzun did not participate in any incentive compensation </w:t>
            </w:r>
            <w:r w:rsidR="007952A6">
              <w:rPr>
                <w:sz w:val="20"/>
              </w:rPr>
              <w:t>plan</w:t>
            </w:r>
            <w:r w:rsidRPr="006F1B4F">
              <w:rPr>
                <w:sz w:val="20"/>
              </w:rPr>
              <w:t xml:space="preserve"> for 2015.  </w:t>
            </w:r>
          </w:p>
          <w:p w:rsidR="00B41B46" w:rsidRPr="00B41B46" w:rsidRDefault="00B41B46" w:rsidP="006F1B4F">
            <w:pPr>
              <w:pStyle w:val="ListParagraph"/>
              <w:keepNext/>
              <w:numPr>
                <w:ilvl w:val="0"/>
                <w:numId w:val="43"/>
              </w:numPr>
              <w:tabs>
                <w:tab w:val="left" w:pos="380"/>
              </w:tabs>
              <w:spacing w:before="100" w:after="40"/>
              <w:contextualSpacing w:val="0"/>
              <w:jc w:val="left"/>
              <w:rPr>
                <w:sz w:val="20"/>
              </w:rPr>
            </w:pPr>
            <w:r>
              <w:rPr>
                <w:sz w:val="20"/>
              </w:rPr>
              <w:t xml:space="preserve">Mr. Varello's </w:t>
            </w:r>
            <w:r w:rsidR="004141C1">
              <w:rPr>
                <w:sz w:val="20"/>
              </w:rPr>
              <w:t xml:space="preserve">restricted </w:t>
            </w:r>
            <w:r>
              <w:rPr>
                <w:sz w:val="20"/>
              </w:rPr>
              <w:t>stock award</w:t>
            </w:r>
            <w:r w:rsidR="00D41E22">
              <w:rPr>
                <w:sz w:val="20"/>
              </w:rPr>
              <w:t xml:space="preserve"> (vesting over </w:t>
            </w:r>
            <w:r w:rsidR="00AA76F9">
              <w:rPr>
                <w:sz w:val="20"/>
              </w:rPr>
              <w:t>three</w:t>
            </w:r>
            <w:r w:rsidR="00D41E22">
              <w:rPr>
                <w:sz w:val="20"/>
              </w:rPr>
              <w:t xml:space="preserve"> years) </w:t>
            </w:r>
            <w:r>
              <w:rPr>
                <w:sz w:val="20"/>
              </w:rPr>
              <w:t>was in lieu of salary</w:t>
            </w:r>
            <w:r w:rsidR="004141C1">
              <w:rPr>
                <w:sz w:val="20"/>
              </w:rPr>
              <w:t>,</w:t>
            </w:r>
            <w:r>
              <w:rPr>
                <w:sz w:val="20"/>
              </w:rPr>
              <w:t xml:space="preserve"> and was approved by stockholders.</w:t>
            </w:r>
          </w:p>
          <w:p w:rsidR="00C175D6" w:rsidRDefault="00C175D6" w:rsidP="006F1B4F">
            <w:pPr>
              <w:pStyle w:val="ListParagraph"/>
              <w:keepNext/>
              <w:numPr>
                <w:ilvl w:val="0"/>
                <w:numId w:val="43"/>
              </w:numPr>
              <w:tabs>
                <w:tab w:val="left" w:pos="380"/>
              </w:tabs>
              <w:spacing w:before="100" w:after="40"/>
              <w:contextualSpacing w:val="0"/>
              <w:jc w:val="left"/>
              <w:rPr>
                <w:sz w:val="20"/>
              </w:rPr>
            </w:pPr>
            <w:r>
              <w:rPr>
                <w:sz w:val="20"/>
              </w:rPr>
              <w:t>Mr. Ballschmiede</w:t>
            </w:r>
            <w:r w:rsidR="000314EB">
              <w:rPr>
                <w:sz w:val="20"/>
              </w:rPr>
              <w:t xml:space="preserve"> served as a consultant to the Company's Audit Committee for several weeks prior to being hired as Chief Financial Officer, for which work he was paid $97,809. </w:t>
            </w:r>
            <w:r>
              <w:rPr>
                <w:sz w:val="20"/>
              </w:rPr>
              <w:t xml:space="preserve"> </w:t>
            </w:r>
            <w:r w:rsidR="000314EB">
              <w:rPr>
                <w:sz w:val="20"/>
              </w:rPr>
              <w:t xml:space="preserve">His </w:t>
            </w:r>
            <w:r w:rsidR="00D6614A">
              <w:rPr>
                <w:sz w:val="20"/>
              </w:rPr>
              <w:t xml:space="preserve">restricted </w:t>
            </w:r>
            <w:r>
              <w:rPr>
                <w:sz w:val="20"/>
              </w:rPr>
              <w:t>st</w:t>
            </w:r>
            <w:r w:rsidR="00D6614A">
              <w:rPr>
                <w:sz w:val="20"/>
              </w:rPr>
              <w:t>o</w:t>
            </w:r>
            <w:r>
              <w:rPr>
                <w:sz w:val="20"/>
              </w:rPr>
              <w:t xml:space="preserve">ck award </w:t>
            </w:r>
            <w:r w:rsidR="00D41E22">
              <w:rPr>
                <w:sz w:val="20"/>
              </w:rPr>
              <w:t xml:space="preserve">(vesting over </w:t>
            </w:r>
            <w:r w:rsidR="00813145">
              <w:rPr>
                <w:sz w:val="20"/>
              </w:rPr>
              <w:t xml:space="preserve">two </w:t>
            </w:r>
            <w:r w:rsidR="00D41E22">
              <w:rPr>
                <w:sz w:val="20"/>
              </w:rPr>
              <w:t xml:space="preserve">years) </w:t>
            </w:r>
            <w:r>
              <w:rPr>
                <w:sz w:val="20"/>
              </w:rPr>
              <w:t>was made to him in connection with his joining the Company.</w:t>
            </w:r>
            <w:r w:rsidR="000314EB">
              <w:rPr>
                <w:sz w:val="20"/>
              </w:rPr>
              <w:t xml:space="preserve">  </w:t>
            </w:r>
          </w:p>
          <w:p w:rsidR="00C3159B" w:rsidRPr="006F1B4F" w:rsidRDefault="00E7656E" w:rsidP="006F1B4F">
            <w:pPr>
              <w:pStyle w:val="ListParagraph"/>
              <w:keepNext/>
              <w:numPr>
                <w:ilvl w:val="0"/>
                <w:numId w:val="43"/>
              </w:numPr>
              <w:tabs>
                <w:tab w:val="left" w:pos="380"/>
              </w:tabs>
              <w:spacing w:before="100" w:after="40"/>
              <w:contextualSpacing w:val="0"/>
              <w:jc w:val="left"/>
              <w:rPr>
                <w:sz w:val="20"/>
              </w:rPr>
            </w:pPr>
            <w:r w:rsidRPr="006F1B4F">
              <w:rPr>
                <w:sz w:val="20"/>
              </w:rPr>
              <w:t xml:space="preserve">Mr. Barzun is paid a $100,000 annual retainer for the performance of routine matters, which, after the end of the year is </w:t>
            </w:r>
            <w:r w:rsidR="00D6614A">
              <w:rPr>
                <w:sz w:val="20"/>
              </w:rPr>
              <w:t>subject to increase</w:t>
            </w:r>
            <w:r w:rsidRPr="006F1B4F">
              <w:rPr>
                <w:sz w:val="20"/>
              </w:rPr>
              <w:t xml:space="preserve"> by an amount that the Compensation Committee believes reflects appropriate compensation for the non-routine matters on which he worked during </w:t>
            </w:r>
            <w:r w:rsidR="00D6614A">
              <w:rPr>
                <w:sz w:val="20"/>
              </w:rPr>
              <w:t xml:space="preserve">the </w:t>
            </w:r>
            <w:r w:rsidRPr="006F1B4F">
              <w:rPr>
                <w:sz w:val="20"/>
              </w:rPr>
              <w:t xml:space="preserve">year. </w:t>
            </w:r>
          </w:p>
          <w:p w:rsidR="00CE32F0" w:rsidRPr="00AA76F9" w:rsidRDefault="003C76DF" w:rsidP="00CE32F0">
            <w:pPr>
              <w:pStyle w:val="ListParagraph"/>
              <w:keepNext/>
              <w:numPr>
                <w:ilvl w:val="0"/>
                <w:numId w:val="43"/>
              </w:numPr>
              <w:tabs>
                <w:tab w:val="left" w:pos="380"/>
              </w:tabs>
              <w:spacing w:after="40"/>
              <w:contextualSpacing w:val="0"/>
              <w:jc w:val="left"/>
              <w:rPr>
                <w:sz w:val="20"/>
              </w:rPr>
            </w:pPr>
            <w:r w:rsidRPr="00AA76F9">
              <w:rPr>
                <w:sz w:val="20"/>
              </w:rPr>
              <w:t>Mr. Blair participated in the Company's 2015 Long-Term Incentive Compensation Program</w:t>
            </w:r>
            <w:r w:rsidR="00D41E22" w:rsidRPr="00AA76F9">
              <w:rPr>
                <w:sz w:val="20"/>
              </w:rPr>
              <w:t xml:space="preserve"> under which he was awarded 3,971 shares of restricted stock that vest at the end of three years.  </w:t>
            </w:r>
            <w:r w:rsidR="00AA76F9" w:rsidRPr="00AA76F9">
              <w:rPr>
                <w:sz w:val="20"/>
              </w:rPr>
              <w:t xml:space="preserve">Because he </w:t>
            </w:r>
            <w:r w:rsidR="005D496A">
              <w:rPr>
                <w:sz w:val="20"/>
              </w:rPr>
              <w:t xml:space="preserve">was unable to </w:t>
            </w:r>
            <w:r w:rsidR="00AA76F9" w:rsidRPr="00AA76F9">
              <w:rPr>
                <w:sz w:val="20"/>
              </w:rPr>
              <w:lastRenderedPageBreak/>
              <w:t xml:space="preserve">participate </w:t>
            </w:r>
            <w:r w:rsidR="00C3159B" w:rsidRPr="00AA76F9">
              <w:rPr>
                <w:sz w:val="20"/>
              </w:rPr>
              <w:t xml:space="preserve">in the Company's </w:t>
            </w:r>
            <w:r w:rsidR="00AA76F9" w:rsidRPr="00AA76F9">
              <w:rPr>
                <w:sz w:val="20"/>
              </w:rPr>
              <w:t xml:space="preserve">2015 </w:t>
            </w:r>
            <w:r w:rsidR="00C3159B" w:rsidRPr="00AA76F9">
              <w:rPr>
                <w:sz w:val="20"/>
              </w:rPr>
              <w:t>Short-Term Incentive Compensation Program</w:t>
            </w:r>
            <w:r w:rsidR="001738A2" w:rsidRPr="00AA76F9">
              <w:rPr>
                <w:sz w:val="20"/>
              </w:rPr>
              <w:t>,</w:t>
            </w:r>
            <w:r w:rsidR="00C3159B" w:rsidRPr="00AA76F9">
              <w:rPr>
                <w:sz w:val="20"/>
              </w:rPr>
              <w:t xml:space="preserve"> </w:t>
            </w:r>
            <w:r w:rsidR="00862E3D" w:rsidRPr="00AA76F9">
              <w:rPr>
                <w:sz w:val="20"/>
              </w:rPr>
              <w:t xml:space="preserve">he </w:t>
            </w:r>
            <w:r w:rsidRPr="00AA76F9">
              <w:rPr>
                <w:sz w:val="20"/>
              </w:rPr>
              <w:t xml:space="preserve">was awarded a </w:t>
            </w:r>
            <w:r w:rsidR="00AA76F9" w:rsidRPr="00AA76F9">
              <w:rPr>
                <w:sz w:val="20"/>
              </w:rPr>
              <w:t xml:space="preserve">$50,000 </w:t>
            </w:r>
            <w:r w:rsidRPr="00AA76F9">
              <w:rPr>
                <w:sz w:val="20"/>
              </w:rPr>
              <w:t xml:space="preserve">bonus for 2015.  </w:t>
            </w:r>
            <w:r w:rsidR="00AA76F9" w:rsidRPr="00AA76F9">
              <w:rPr>
                <w:sz w:val="20"/>
              </w:rPr>
              <w:t>In addition, in connection with his assuming the role of Chief Financial Officer on an interim basis</w:t>
            </w:r>
            <w:r w:rsidR="00AA76F9">
              <w:rPr>
                <w:sz w:val="20"/>
              </w:rPr>
              <w:t xml:space="preserve"> during 2015</w:t>
            </w:r>
            <w:r w:rsidR="00AA76F9" w:rsidRPr="00AA76F9">
              <w:rPr>
                <w:sz w:val="20"/>
              </w:rPr>
              <w:t xml:space="preserve">, he was awarded a $25,000 bonus.  </w:t>
            </w:r>
          </w:p>
          <w:p w:rsidR="00C3159B" w:rsidRPr="004141C1" w:rsidRDefault="00C3159B" w:rsidP="00CE32F0">
            <w:pPr>
              <w:pStyle w:val="ListParagraph"/>
              <w:keepNext/>
              <w:keepLines/>
              <w:widowControl/>
              <w:numPr>
                <w:ilvl w:val="0"/>
                <w:numId w:val="43"/>
              </w:numPr>
              <w:tabs>
                <w:tab w:val="left" w:pos="380"/>
              </w:tabs>
              <w:spacing w:after="40"/>
              <w:contextualSpacing w:val="0"/>
              <w:jc w:val="left"/>
              <w:rPr>
                <w:sz w:val="20"/>
              </w:rPr>
            </w:pPr>
            <w:r w:rsidRPr="006F1B4F">
              <w:rPr>
                <w:sz w:val="20"/>
              </w:rPr>
              <w:t xml:space="preserve">In connection with his leaving the Company's employ, Mr. MacKenna was paid his 2015 incentive compensation in full and in cash as if all 2015 goals had been met. </w:t>
            </w:r>
          </w:p>
          <w:p w:rsidR="003C76DF" w:rsidRPr="004141C1" w:rsidRDefault="003C76DF" w:rsidP="006F1B4F">
            <w:pPr>
              <w:pStyle w:val="ListParagraph"/>
              <w:keepNext/>
              <w:numPr>
                <w:ilvl w:val="0"/>
                <w:numId w:val="43"/>
              </w:numPr>
              <w:tabs>
                <w:tab w:val="left" w:pos="380"/>
              </w:tabs>
              <w:spacing w:after="40"/>
              <w:contextualSpacing w:val="0"/>
              <w:jc w:val="left"/>
              <w:rPr>
                <w:sz w:val="20"/>
              </w:rPr>
            </w:pPr>
            <w:r w:rsidRPr="004141C1">
              <w:rPr>
                <w:sz w:val="20"/>
              </w:rPr>
              <w:t xml:space="preserve">Mr. Wright participated in both the Company's </w:t>
            </w:r>
            <w:r w:rsidR="00DA20C0" w:rsidRPr="004141C1">
              <w:rPr>
                <w:sz w:val="20"/>
              </w:rPr>
              <w:t xml:space="preserve">2015 </w:t>
            </w:r>
            <w:r w:rsidRPr="004141C1">
              <w:rPr>
                <w:sz w:val="20"/>
              </w:rPr>
              <w:t>Short-Term and Long-Term Incentive Compensation Program</w:t>
            </w:r>
            <w:r w:rsidR="00285DF6">
              <w:rPr>
                <w:sz w:val="20"/>
              </w:rPr>
              <w:t>s</w:t>
            </w:r>
            <w:r w:rsidR="00172333">
              <w:rPr>
                <w:sz w:val="20"/>
              </w:rPr>
              <w:t>.  U</w:t>
            </w:r>
            <w:r w:rsidR="00AD3B6F" w:rsidRPr="004141C1">
              <w:rPr>
                <w:sz w:val="20"/>
              </w:rPr>
              <w:t xml:space="preserve">nder the </w:t>
            </w:r>
            <w:r w:rsidR="00F626CA">
              <w:rPr>
                <w:sz w:val="20"/>
              </w:rPr>
              <w:t>Long-Term Incentive Compensation Program</w:t>
            </w:r>
            <w:r w:rsidR="00AD3B6F" w:rsidRPr="004141C1">
              <w:rPr>
                <w:sz w:val="20"/>
              </w:rPr>
              <w:t xml:space="preserve">, </w:t>
            </w:r>
            <w:r w:rsidR="00DA20C0" w:rsidRPr="004141C1">
              <w:rPr>
                <w:sz w:val="20"/>
              </w:rPr>
              <w:t xml:space="preserve">he </w:t>
            </w:r>
            <w:r w:rsidR="00AD3B6F" w:rsidRPr="004141C1">
              <w:rPr>
                <w:sz w:val="20"/>
              </w:rPr>
              <w:t>was awarded 29,871 shares of restricted stock</w:t>
            </w:r>
            <w:r w:rsidR="00D41E22">
              <w:rPr>
                <w:sz w:val="20"/>
              </w:rPr>
              <w:t xml:space="preserve"> vesting at the end of three years</w:t>
            </w:r>
            <w:r w:rsidRPr="004141C1">
              <w:rPr>
                <w:sz w:val="20"/>
              </w:rPr>
              <w:t xml:space="preserve">.  In connection with his leaving the Company's employ, </w:t>
            </w:r>
            <w:r w:rsidR="00AD3B6F" w:rsidRPr="004141C1">
              <w:rPr>
                <w:sz w:val="20"/>
              </w:rPr>
              <w:t>those shares were vested (</w:t>
            </w:r>
            <w:r w:rsidRPr="004141C1">
              <w:rPr>
                <w:sz w:val="20"/>
              </w:rPr>
              <w:t xml:space="preserve">as were the other </w:t>
            </w:r>
            <w:r w:rsidR="00D41E22">
              <w:rPr>
                <w:sz w:val="20"/>
              </w:rPr>
              <w:t xml:space="preserve">shares of </w:t>
            </w:r>
            <w:r w:rsidRPr="004141C1">
              <w:rPr>
                <w:sz w:val="20"/>
              </w:rPr>
              <w:t xml:space="preserve">restricted </w:t>
            </w:r>
            <w:r w:rsidR="00D41E22">
              <w:rPr>
                <w:sz w:val="20"/>
              </w:rPr>
              <w:t xml:space="preserve">stock </w:t>
            </w:r>
            <w:r w:rsidRPr="004141C1">
              <w:rPr>
                <w:sz w:val="20"/>
              </w:rPr>
              <w:t>he then held</w:t>
            </w:r>
            <w:r w:rsidR="00AD3B6F" w:rsidRPr="004141C1">
              <w:rPr>
                <w:sz w:val="20"/>
              </w:rPr>
              <w:t>) and he was awarded 106,478 shares of unrestricted common stock.</w:t>
            </w:r>
            <w:r w:rsidRPr="004141C1">
              <w:rPr>
                <w:sz w:val="20"/>
              </w:rPr>
              <w:t xml:space="preserve">  </w:t>
            </w:r>
          </w:p>
          <w:p w:rsidR="00C175D6" w:rsidRDefault="00DA20C0" w:rsidP="007B4329">
            <w:pPr>
              <w:pStyle w:val="ListParagraph"/>
              <w:keepNext/>
              <w:numPr>
                <w:ilvl w:val="0"/>
                <w:numId w:val="43"/>
              </w:numPr>
              <w:tabs>
                <w:tab w:val="left" w:pos="380"/>
              </w:tabs>
              <w:contextualSpacing w:val="0"/>
              <w:jc w:val="left"/>
              <w:rPr>
                <w:sz w:val="20"/>
              </w:rPr>
            </w:pPr>
            <w:r w:rsidRPr="004141C1">
              <w:rPr>
                <w:sz w:val="20"/>
              </w:rPr>
              <w:t>These values are b</w:t>
            </w:r>
            <w:r w:rsidR="00C175D6" w:rsidRPr="004141C1">
              <w:rPr>
                <w:sz w:val="20"/>
              </w:rPr>
              <w:t xml:space="preserve">ased on the closing price </w:t>
            </w:r>
            <w:r w:rsidRPr="004141C1">
              <w:rPr>
                <w:sz w:val="20"/>
              </w:rPr>
              <w:t xml:space="preserve">of the common stock </w:t>
            </w:r>
            <w:r w:rsidR="00C175D6" w:rsidRPr="004141C1">
              <w:rPr>
                <w:sz w:val="20"/>
              </w:rPr>
              <w:t xml:space="preserve">on the date of the award, except </w:t>
            </w:r>
            <w:r w:rsidR="002C369D">
              <w:rPr>
                <w:sz w:val="20"/>
              </w:rPr>
              <w:t xml:space="preserve">as </w:t>
            </w:r>
            <w:r w:rsidRPr="004141C1">
              <w:rPr>
                <w:sz w:val="20"/>
              </w:rPr>
              <w:t xml:space="preserve">to </w:t>
            </w:r>
            <w:r w:rsidR="00C175D6" w:rsidRPr="004141C1">
              <w:rPr>
                <w:sz w:val="20"/>
              </w:rPr>
              <w:t>Mr.</w:t>
            </w:r>
            <w:r w:rsidR="007B4329">
              <w:rPr>
                <w:sz w:val="20"/>
              </w:rPr>
              <w:t> </w:t>
            </w:r>
            <w:r w:rsidR="00C175D6" w:rsidRPr="004141C1">
              <w:rPr>
                <w:sz w:val="20"/>
              </w:rPr>
              <w:t>Blair</w:t>
            </w:r>
            <w:r w:rsidR="00C6383D">
              <w:rPr>
                <w:sz w:val="20"/>
              </w:rPr>
              <w:t xml:space="preserve">'s 3,971 shares </w:t>
            </w:r>
            <w:r w:rsidRPr="004141C1">
              <w:rPr>
                <w:sz w:val="20"/>
              </w:rPr>
              <w:t xml:space="preserve">and </w:t>
            </w:r>
            <w:r w:rsidR="00C6383D">
              <w:rPr>
                <w:sz w:val="20"/>
              </w:rPr>
              <w:t xml:space="preserve">29,781 of </w:t>
            </w:r>
            <w:r w:rsidR="00441C3E">
              <w:rPr>
                <w:sz w:val="20"/>
              </w:rPr>
              <w:t xml:space="preserve">Mr. </w:t>
            </w:r>
            <w:r w:rsidRPr="004141C1">
              <w:rPr>
                <w:sz w:val="20"/>
              </w:rPr>
              <w:t>Wright</w:t>
            </w:r>
            <w:r w:rsidR="00C6383D">
              <w:rPr>
                <w:sz w:val="20"/>
              </w:rPr>
              <w:t>'s</w:t>
            </w:r>
            <w:r w:rsidR="00C175D6" w:rsidRPr="004141C1">
              <w:rPr>
                <w:sz w:val="20"/>
              </w:rPr>
              <w:t xml:space="preserve"> </w:t>
            </w:r>
            <w:r w:rsidR="002C369D">
              <w:rPr>
                <w:sz w:val="20"/>
              </w:rPr>
              <w:t xml:space="preserve">shares </w:t>
            </w:r>
            <w:r w:rsidR="00C6383D">
              <w:rPr>
                <w:sz w:val="20"/>
              </w:rPr>
              <w:t xml:space="preserve">that </w:t>
            </w:r>
            <w:r w:rsidR="002C369D">
              <w:rPr>
                <w:sz w:val="20"/>
              </w:rPr>
              <w:t xml:space="preserve">were awarded under the </w:t>
            </w:r>
            <w:r w:rsidRPr="004141C1">
              <w:rPr>
                <w:sz w:val="20"/>
              </w:rPr>
              <w:t xml:space="preserve">2015 </w:t>
            </w:r>
            <w:r w:rsidR="00C175D6" w:rsidRPr="004141C1">
              <w:rPr>
                <w:sz w:val="20"/>
              </w:rPr>
              <w:t xml:space="preserve">Long-Term Incentive Compensation Program </w:t>
            </w:r>
            <w:r w:rsidR="002C369D">
              <w:rPr>
                <w:sz w:val="20"/>
              </w:rPr>
              <w:t xml:space="preserve">pursuant to </w:t>
            </w:r>
            <w:r w:rsidRPr="004141C1">
              <w:rPr>
                <w:sz w:val="20"/>
              </w:rPr>
              <w:t xml:space="preserve">which the value </w:t>
            </w:r>
            <w:r w:rsidR="00441C3E">
              <w:rPr>
                <w:sz w:val="20"/>
              </w:rPr>
              <w:t xml:space="preserve">was </w:t>
            </w:r>
            <w:r w:rsidR="00C175D6" w:rsidRPr="004141C1">
              <w:rPr>
                <w:sz w:val="20"/>
              </w:rPr>
              <w:t xml:space="preserve">based on the average closing prices of the common stock in December 2014.  </w:t>
            </w:r>
          </w:p>
          <w:p w:rsidR="00FD7D56" w:rsidRDefault="00FD7D56" w:rsidP="00FD7D56">
            <w:pPr>
              <w:widowControl/>
              <w:jc w:val="left"/>
            </w:pPr>
            <w:r>
              <w:t xml:space="preserve">At the 2015 </w:t>
            </w:r>
            <w:r w:rsidR="00A54C60">
              <w:t>Annual Meeting of Stockholders</w:t>
            </w:r>
            <w:r>
              <w:t>, the say-on-pay vote was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797"/>
              <w:gridCol w:w="1505"/>
              <w:gridCol w:w="1799"/>
            </w:tblGrid>
            <w:tr w:rsidR="00FD7D56" w:rsidTr="006F74E9">
              <w:trPr>
                <w:cantSplit/>
                <w:jc w:val="center"/>
              </w:trPr>
              <w:tc>
                <w:tcPr>
                  <w:tcW w:w="1956" w:type="dxa"/>
                  <w:tcMar>
                    <w:bottom w:w="0" w:type="dxa"/>
                  </w:tcMar>
                </w:tcPr>
                <w:p w:rsidR="00FD7D56" w:rsidRPr="007335B0" w:rsidRDefault="00FD7D56" w:rsidP="006F74E9">
                  <w:pPr>
                    <w:keepNext/>
                    <w:widowControl/>
                    <w:spacing w:after="0"/>
                    <w:jc w:val="center"/>
                    <w:rPr>
                      <w:i/>
                      <w:sz w:val="20"/>
                    </w:rPr>
                  </w:pPr>
                  <w:r>
                    <w:rPr>
                      <w:i/>
                      <w:sz w:val="20"/>
                    </w:rPr>
                    <w:t xml:space="preserve">Number of </w:t>
                  </w:r>
                  <w:r w:rsidRPr="007335B0">
                    <w:rPr>
                      <w:i/>
                      <w:sz w:val="20"/>
                    </w:rPr>
                    <w:t>Shares Entitled to Vote</w:t>
                  </w:r>
                </w:p>
              </w:tc>
              <w:tc>
                <w:tcPr>
                  <w:tcW w:w="1797" w:type="dxa"/>
                  <w:tcMar>
                    <w:bottom w:w="0" w:type="dxa"/>
                  </w:tcMar>
                  <w:vAlign w:val="bottom"/>
                </w:tcPr>
                <w:p w:rsidR="00FD7D56" w:rsidRPr="007335B0" w:rsidRDefault="00FD7D56" w:rsidP="006F74E9">
                  <w:pPr>
                    <w:widowControl/>
                    <w:spacing w:after="0"/>
                    <w:jc w:val="center"/>
                    <w:rPr>
                      <w:i/>
                      <w:sz w:val="20"/>
                    </w:rPr>
                  </w:pPr>
                  <w:r>
                    <w:rPr>
                      <w:i/>
                      <w:sz w:val="20"/>
                    </w:rPr>
                    <w:t xml:space="preserve">Voted </w:t>
                  </w:r>
                  <w:r w:rsidRPr="007335B0">
                    <w:rPr>
                      <w:i/>
                      <w:sz w:val="20"/>
                    </w:rPr>
                    <w:t>For</w:t>
                  </w:r>
                </w:p>
              </w:tc>
              <w:tc>
                <w:tcPr>
                  <w:tcW w:w="1505" w:type="dxa"/>
                  <w:tcMar>
                    <w:bottom w:w="0" w:type="dxa"/>
                  </w:tcMar>
                  <w:vAlign w:val="bottom"/>
                </w:tcPr>
                <w:p w:rsidR="00FD7D56" w:rsidRPr="007335B0" w:rsidRDefault="00FD7D56" w:rsidP="006F74E9">
                  <w:pPr>
                    <w:widowControl/>
                    <w:spacing w:after="0"/>
                    <w:jc w:val="center"/>
                    <w:rPr>
                      <w:i/>
                      <w:sz w:val="20"/>
                    </w:rPr>
                  </w:pPr>
                  <w:r>
                    <w:rPr>
                      <w:i/>
                      <w:sz w:val="20"/>
                    </w:rPr>
                    <w:t xml:space="preserve">Voted </w:t>
                  </w:r>
                  <w:r w:rsidRPr="007335B0">
                    <w:rPr>
                      <w:i/>
                      <w:sz w:val="20"/>
                    </w:rPr>
                    <w:t>Against</w:t>
                  </w:r>
                </w:p>
              </w:tc>
              <w:tc>
                <w:tcPr>
                  <w:tcW w:w="1799" w:type="dxa"/>
                  <w:tcMar>
                    <w:bottom w:w="0" w:type="dxa"/>
                  </w:tcMar>
                  <w:vAlign w:val="bottom"/>
                </w:tcPr>
                <w:p w:rsidR="00FD7D56" w:rsidRPr="007335B0" w:rsidRDefault="00FD7D56" w:rsidP="006F74E9">
                  <w:pPr>
                    <w:widowControl/>
                    <w:spacing w:after="0"/>
                    <w:jc w:val="center"/>
                    <w:rPr>
                      <w:i/>
                      <w:sz w:val="20"/>
                    </w:rPr>
                  </w:pPr>
                  <w:r w:rsidRPr="007335B0">
                    <w:rPr>
                      <w:i/>
                      <w:sz w:val="20"/>
                    </w:rPr>
                    <w:t>Abstain</w:t>
                  </w:r>
                  <w:r>
                    <w:rPr>
                      <w:i/>
                      <w:sz w:val="20"/>
                    </w:rPr>
                    <w:t>ed</w:t>
                  </w:r>
                </w:p>
              </w:tc>
            </w:tr>
            <w:tr w:rsidR="00FD7D56" w:rsidTr="00FD7D56">
              <w:trPr>
                <w:jc w:val="center"/>
              </w:trPr>
              <w:tc>
                <w:tcPr>
                  <w:tcW w:w="1956" w:type="dxa"/>
                  <w:tcMar>
                    <w:top w:w="0" w:type="dxa"/>
                  </w:tcMar>
                </w:tcPr>
                <w:p w:rsidR="00FD7D56" w:rsidRPr="0090032E" w:rsidRDefault="002632F2" w:rsidP="006F74E9">
                  <w:pPr>
                    <w:keepNext/>
                    <w:widowControl/>
                    <w:spacing w:after="0"/>
                    <w:jc w:val="center"/>
                    <w:rPr>
                      <w:sz w:val="20"/>
                    </w:rPr>
                  </w:pPr>
                  <w:r>
                    <w:rPr>
                      <w:sz w:val="20"/>
                    </w:rPr>
                    <w:t>13,173,921</w:t>
                  </w:r>
                </w:p>
              </w:tc>
              <w:tc>
                <w:tcPr>
                  <w:tcW w:w="1797" w:type="dxa"/>
                  <w:tcMar>
                    <w:top w:w="0" w:type="dxa"/>
                  </w:tcMar>
                  <w:vAlign w:val="bottom"/>
                </w:tcPr>
                <w:p w:rsidR="00FD7D56" w:rsidRPr="00CD139B" w:rsidRDefault="00FD7D56" w:rsidP="006F74E9">
                  <w:pPr>
                    <w:ind w:right="-29"/>
                    <w:jc w:val="center"/>
                    <w:rPr>
                      <w:spacing w:val="4"/>
                      <w:sz w:val="20"/>
                    </w:rPr>
                  </w:pPr>
                  <w:r w:rsidRPr="00CD139B">
                    <w:rPr>
                      <w:spacing w:val="4"/>
                      <w:sz w:val="20"/>
                    </w:rPr>
                    <w:t>12,579,278</w:t>
                  </w:r>
                  <w:r>
                    <w:rPr>
                      <w:spacing w:val="4"/>
                      <w:sz w:val="20"/>
                    </w:rPr>
                    <w:t xml:space="preserve"> (95%)</w:t>
                  </w:r>
                </w:p>
              </w:tc>
              <w:tc>
                <w:tcPr>
                  <w:tcW w:w="1505" w:type="dxa"/>
                  <w:tcMar>
                    <w:top w:w="0" w:type="dxa"/>
                  </w:tcMar>
                  <w:vAlign w:val="bottom"/>
                </w:tcPr>
                <w:p w:rsidR="00FD7D56" w:rsidRPr="00CD139B" w:rsidRDefault="00FD7D56" w:rsidP="006F74E9">
                  <w:pPr>
                    <w:ind w:right="-7"/>
                    <w:jc w:val="center"/>
                    <w:rPr>
                      <w:sz w:val="20"/>
                    </w:rPr>
                  </w:pPr>
                  <w:r w:rsidRPr="00CD139B">
                    <w:rPr>
                      <w:sz w:val="20"/>
                    </w:rPr>
                    <w:t>288,943</w:t>
                  </w:r>
                  <w:r>
                    <w:rPr>
                      <w:sz w:val="20"/>
                    </w:rPr>
                    <w:t xml:space="preserve"> (2.2%)</w:t>
                  </w:r>
                </w:p>
              </w:tc>
              <w:tc>
                <w:tcPr>
                  <w:tcW w:w="1799" w:type="dxa"/>
                  <w:tcMar>
                    <w:top w:w="0" w:type="dxa"/>
                  </w:tcMar>
                  <w:vAlign w:val="bottom"/>
                </w:tcPr>
                <w:p w:rsidR="00FD7D56" w:rsidRPr="00CD139B" w:rsidRDefault="00FD7D56" w:rsidP="006F74E9">
                  <w:pPr>
                    <w:jc w:val="center"/>
                    <w:rPr>
                      <w:sz w:val="20"/>
                    </w:rPr>
                  </w:pPr>
                  <w:r w:rsidRPr="00CD139B">
                    <w:rPr>
                      <w:sz w:val="20"/>
                    </w:rPr>
                    <w:t>305,700</w:t>
                  </w:r>
                  <w:r>
                    <w:rPr>
                      <w:sz w:val="20"/>
                    </w:rPr>
                    <w:t xml:space="preserve"> (2.3%)</w:t>
                  </w:r>
                </w:p>
              </w:tc>
            </w:tr>
          </w:tbl>
          <w:p w:rsidR="00FD7D56" w:rsidRDefault="00092310" w:rsidP="00A54C60">
            <w:pPr>
              <w:keepNext/>
              <w:spacing w:before="100" w:after="40"/>
              <w:jc w:val="left"/>
            </w:pPr>
            <w:r w:rsidRPr="00025DD6">
              <w:t>For</w:t>
            </w:r>
            <w:r w:rsidR="003C76DF">
              <w:t xml:space="preserve"> more</w:t>
            </w:r>
            <w:r w:rsidRPr="00025DD6">
              <w:t xml:space="preserve"> </w:t>
            </w:r>
            <w:r w:rsidR="003F11C4">
              <w:t xml:space="preserve">information about </w:t>
            </w:r>
            <w:r w:rsidRPr="00025DD6">
              <w:t>the named executive officers' restricted stock</w:t>
            </w:r>
            <w:r w:rsidR="003F11C4">
              <w:t xml:space="preserve"> in 2015</w:t>
            </w:r>
            <w:r w:rsidRPr="00025DD6">
              <w:t>, see the table</w:t>
            </w:r>
            <w:r w:rsidR="003F11C4">
              <w:t>s</w:t>
            </w:r>
            <w:r w:rsidRPr="00025DD6">
              <w:t xml:space="preserve"> below </w:t>
            </w:r>
            <w:r w:rsidR="003F11C4">
              <w:t xml:space="preserve">starting at </w:t>
            </w:r>
            <w:r w:rsidR="00D93578">
              <w:t xml:space="preserve">Page </w:t>
            </w:r>
            <w:r w:rsidR="00A54C60">
              <w:t>33</w:t>
            </w:r>
            <w:r w:rsidRPr="00025DD6">
              <w:t xml:space="preserve">.  </w:t>
            </w:r>
          </w:p>
        </w:tc>
      </w:tr>
      <w:tr w:rsidR="00593DB4" w:rsidTr="00CC0B6D">
        <w:tc>
          <w:tcPr>
            <w:tcW w:w="10063" w:type="dxa"/>
            <w:tcBorders>
              <w:top w:val="double" w:sz="4" w:space="0" w:color="auto"/>
              <w:left w:val="double" w:sz="4" w:space="0" w:color="auto"/>
              <w:bottom w:val="double" w:sz="4" w:space="0" w:color="auto"/>
              <w:right w:val="double" w:sz="4" w:space="0" w:color="auto"/>
            </w:tcBorders>
          </w:tcPr>
          <w:p w:rsidR="00593DB4" w:rsidRPr="002176F8" w:rsidRDefault="00593DB4" w:rsidP="002176F8">
            <w:pPr>
              <w:pStyle w:val="002Proxy"/>
              <w:jc w:val="center"/>
              <w:rPr>
                <w:smallCaps/>
              </w:rPr>
            </w:pPr>
            <w:bookmarkStart w:id="8" w:name="_Toc412016389"/>
            <w:bookmarkStart w:id="9" w:name="_Toc445739541"/>
            <w:r w:rsidRPr="002176F8">
              <w:rPr>
                <w:smallCaps/>
              </w:rPr>
              <w:lastRenderedPageBreak/>
              <w:t>Summary of Corporate Governance</w:t>
            </w:r>
            <w:bookmarkEnd w:id="8"/>
            <w:bookmarkEnd w:id="9"/>
          </w:p>
          <w:p w:rsidR="00593DB4" w:rsidRDefault="00593DB4" w:rsidP="00593DB4">
            <w:pPr>
              <w:spacing w:after="60"/>
              <w:jc w:val="left"/>
            </w:pPr>
            <w:r>
              <w:t>T</w:t>
            </w:r>
            <w:r w:rsidRPr="00F37508">
              <w:t xml:space="preserve">he Board </w:t>
            </w:r>
            <w:r>
              <w:t>has adopted a set of governance guidelines that it reviews periodically to ensure that they reflect the Board's and the Company's needs, as well as current trends in corporate governance</w:t>
            </w:r>
            <w:r w:rsidRPr="00F37508">
              <w:t xml:space="preserve">.  </w:t>
            </w:r>
          </w:p>
          <w:p w:rsidR="00593DB4" w:rsidRDefault="00593DB4" w:rsidP="00593DB4">
            <w:pPr>
              <w:spacing w:after="60"/>
              <w:jc w:val="left"/>
            </w:pPr>
            <w:r>
              <w:t xml:space="preserve">The following is a description of some of the main elements of the Company's corporate governance matters.  A more detailed discussion can be found below under the heading </w:t>
            </w:r>
            <w:r w:rsidRPr="005A2C47">
              <w:rPr>
                <w:i/>
              </w:rPr>
              <w:t>The Board of Directors</w:t>
            </w:r>
            <w:r>
              <w:t xml:space="preserve"> in the section entitled </w:t>
            </w:r>
            <w:r w:rsidR="00515EC3">
              <w:rPr>
                <w:i/>
              </w:rPr>
              <w:t xml:space="preserve">Board </w:t>
            </w:r>
            <w:r>
              <w:rPr>
                <w:i/>
              </w:rPr>
              <w:t>Governance</w:t>
            </w:r>
            <w:r>
              <w:t xml:space="preserve"> beginning on Page </w:t>
            </w:r>
            <w:r w:rsidR="00040966" w:rsidRPr="0048210F">
              <w:t>1</w:t>
            </w:r>
            <w:r w:rsidR="009B3136" w:rsidRPr="0048210F">
              <w:t>0</w:t>
            </w:r>
            <w:r>
              <w:t>:</w:t>
            </w:r>
          </w:p>
          <w:p w:rsidR="00593DB4" w:rsidRDefault="00593DB4" w:rsidP="00593DB4">
            <w:pPr>
              <w:pStyle w:val="ListParagraph"/>
              <w:numPr>
                <w:ilvl w:val="0"/>
                <w:numId w:val="29"/>
              </w:numPr>
              <w:spacing w:after="60"/>
              <w:contextualSpacing w:val="0"/>
              <w:jc w:val="left"/>
            </w:pPr>
            <w:r>
              <w:t>Independence:</w:t>
            </w:r>
          </w:p>
          <w:p w:rsidR="00593DB4" w:rsidRDefault="00593DB4" w:rsidP="00A1572F">
            <w:pPr>
              <w:pStyle w:val="ListParagraph"/>
              <w:numPr>
                <w:ilvl w:val="1"/>
                <w:numId w:val="29"/>
              </w:numPr>
              <w:tabs>
                <w:tab w:val="left" w:pos="1090"/>
              </w:tabs>
              <w:spacing w:after="60"/>
              <w:ind w:left="1080"/>
              <w:contextualSpacing w:val="0"/>
              <w:jc w:val="left"/>
            </w:pPr>
            <w:r>
              <w:t>Of the Company's six directors, five are independent directors.</w:t>
            </w:r>
            <w:r w:rsidR="00A1572F">
              <w:t xml:space="preserve">  T</w:t>
            </w:r>
            <w:r>
              <w:t xml:space="preserve">he </w:t>
            </w:r>
            <w:r w:rsidR="00BA626F">
              <w:t xml:space="preserve">only </w:t>
            </w:r>
            <w:r>
              <w:t xml:space="preserve">non-independent director is the Company's Chief Executive Officer.  </w:t>
            </w:r>
          </w:p>
          <w:p w:rsidR="00593DB4" w:rsidRDefault="00593DB4" w:rsidP="00A1572F">
            <w:pPr>
              <w:pStyle w:val="ListParagraph"/>
              <w:numPr>
                <w:ilvl w:val="1"/>
                <w:numId w:val="29"/>
              </w:numPr>
              <w:tabs>
                <w:tab w:val="left" w:pos="1090"/>
              </w:tabs>
              <w:spacing w:after="60"/>
              <w:ind w:left="1080"/>
              <w:contextualSpacing w:val="0"/>
              <w:jc w:val="left"/>
            </w:pPr>
            <w:r>
              <w:t xml:space="preserve">The </w:t>
            </w:r>
            <w:r w:rsidR="004C3308">
              <w:t xml:space="preserve">roles of Chairman and Chief Executive Officer are separate, </w:t>
            </w:r>
            <w:r w:rsidR="00881D83">
              <w:t xml:space="preserve">and </w:t>
            </w:r>
            <w:r w:rsidR="004C3308">
              <w:t xml:space="preserve">the </w:t>
            </w:r>
            <w:r>
              <w:t xml:space="preserve">Board's Chairman is </w:t>
            </w:r>
            <w:r w:rsidR="00A1572F">
              <w:t>an independent director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All members of the Board's standing committees are independent directors.</w:t>
            </w:r>
          </w:p>
          <w:p w:rsidR="00593DB4" w:rsidRDefault="00593DB4" w:rsidP="00A1572F">
            <w:pPr>
              <w:pStyle w:val="ListParagraph"/>
              <w:numPr>
                <w:ilvl w:val="1"/>
                <w:numId w:val="29"/>
              </w:numPr>
              <w:tabs>
                <w:tab w:val="left" w:pos="1090"/>
              </w:tabs>
              <w:spacing w:after="60"/>
              <w:ind w:left="1080"/>
              <w:contextualSpacing w:val="0"/>
              <w:jc w:val="left"/>
            </w:pPr>
            <w:r>
              <w:t>No director has entered into any related</w:t>
            </w:r>
            <w:r w:rsidR="005747B5">
              <w:t>-</w:t>
            </w:r>
            <w:r>
              <w:t>party transaction with the Company.</w:t>
            </w:r>
          </w:p>
          <w:p w:rsidR="00593DB4" w:rsidRDefault="008B0A55" w:rsidP="00593DB4">
            <w:pPr>
              <w:pStyle w:val="ListParagraph"/>
              <w:numPr>
                <w:ilvl w:val="0"/>
                <w:numId w:val="29"/>
              </w:numPr>
              <w:spacing w:after="60"/>
              <w:contextualSpacing w:val="0"/>
              <w:jc w:val="left"/>
            </w:pPr>
            <w:r>
              <w:t xml:space="preserve">At </w:t>
            </w:r>
            <w:r w:rsidR="00593DB4">
              <w:t xml:space="preserve">the 2015 Annual Meeting of Stockholders, the Board </w:t>
            </w:r>
            <w:r>
              <w:t xml:space="preserve">started the </w:t>
            </w:r>
            <w:r w:rsidR="00BA06A1">
              <w:t xml:space="preserve">process of </w:t>
            </w:r>
            <w:r w:rsidR="00593DB4">
              <w:t>declassif</w:t>
            </w:r>
            <w:r w:rsidR="00BA06A1">
              <w:t>ying</w:t>
            </w:r>
            <w:r>
              <w:t xml:space="preserve"> </w:t>
            </w:r>
            <w:r w:rsidR="00593DB4">
              <w:t xml:space="preserve">directors so that by the 2017 Annual Meeting, all nominees will be elected for one-year terms.  See the section entitled </w:t>
            </w:r>
            <w:r w:rsidR="00593DB4" w:rsidRPr="00995282">
              <w:rPr>
                <w:i/>
              </w:rPr>
              <w:t>Term of Office &amp; Declassification of Directors</w:t>
            </w:r>
            <w:r w:rsidR="00593DB4">
              <w:rPr>
                <w:i/>
              </w:rPr>
              <w:t xml:space="preserve"> </w:t>
            </w:r>
            <w:r w:rsidR="00593DB4" w:rsidRPr="00995282">
              <w:t>under the heading</w:t>
            </w:r>
            <w:r w:rsidR="00593DB4">
              <w:rPr>
                <w:i/>
              </w:rPr>
              <w:t xml:space="preserve"> Election of Directors </w:t>
            </w:r>
            <w:r w:rsidR="00593DB4">
              <w:t xml:space="preserve">on Page </w:t>
            </w:r>
            <w:r w:rsidR="0048210F">
              <w:t>4</w:t>
            </w:r>
            <w:r w:rsidR="00593DB4">
              <w:t xml:space="preserve">.  </w:t>
            </w:r>
          </w:p>
          <w:p w:rsidR="00593DB4" w:rsidRDefault="00593DB4" w:rsidP="00593DB4">
            <w:pPr>
              <w:pStyle w:val="ListParagraph"/>
              <w:numPr>
                <w:ilvl w:val="0"/>
                <w:numId w:val="29"/>
              </w:numPr>
              <w:spacing w:after="60"/>
              <w:contextualSpacing w:val="0"/>
              <w:jc w:val="left"/>
            </w:pPr>
            <w:r>
              <w:t xml:space="preserve">Directors (in uncontested elections) are elected by a majority vote, with a director resignation procedure for incumbent directors who are nominated for re-election.  </w:t>
            </w:r>
          </w:p>
          <w:p w:rsidR="00593DB4" w:rsidRDefault="00593DB4" w:rsidP="00593DB4">
            <w:pPr>
              <w:pStyle w:val="ListParagraph"/>
              <w:numPr>
                <w:ilvl w:val="0"/>
                <w:numId w:val="29"/>
              </w:numPr>
              <w:spacing w:after="60"/>
              <w:contextualSpacing w:val="0"/>
              <w:jc w:val="left"/>
            </w:pPr>
            <w:r>
              <w:t>Meeting Attendance:</w:t>
            </w:r>
          </w:p>
          <w:p w:rsidR="00593DB4" w:rsidRDefault="00593DB4" w:rsidP="00A1572F">
            <w:pPr>
              <w:pStyle w:val="ListParagraph"/>
              <w:numPr>
                <w:ilvl w:val="1"/>
                <w:numId w:val="29"/>
              </w:numPr>
              <w:tabs>
                <w:tab w:val="left" w:pos="1090"/>
              </w:tabs>
              <w:spacing w:after="60"/>
              <w:ind w:left="1080"/>
              <w:contextualSpacing w:val="0"/>
              <w:jc w:val="left"/>
            </w:pPr>
            <w:r>
              <w:t>In 201</w:t>
            </w:r>
            <w:r w:rsidR="008B0A55">
              <w:t>5</w:t>
            </w:r>
            <w:r>
              <w:t xml:space="preserve">, all directors attended, in the aggregate, </w:t>
            </w:r>
            <w:r w:rsidR="008640EE">
              <w:t xml:space="preserve">more than </w:t>
            </w:r>
            <w:r>
              <w:t>9</w:t>
            </w:r>
            <w:r w:rsidR="008640EE">
              <w:t>0</w:t>
            </w:r>
            <w:r>
              <w:t xml:space="preserve">% of </w:t>
            </w:r>
            <w:r w:rsidRPr="00720687">
              <w:t xml:space="preserve">the meetings of the Board and </w:t>
            </w:r>
            <w:r>
              <w:t xml:space="preserve">of </w:t>
            </w:r>
            <w:r w:rsidRPr="00720687">
              <w:t>the committees on which they serve</w:t>
            </w:r>
            <w:r>
              <w:t>d.</w:t>
            </w:r>
          </w:p>
          <w:p w:rsidR="00593DB4" w:rsidRDefault="00593DB4" w:rsidP="00A1572F">
            <w:pPr>
              <w:pStyle w:val="ListParagraph"/>
              <w:numPr>
                <w:ilvl w:val="1"/>
                <w:numId w:val="29"/>
              </w:numPr>
              <w:tabs>
                <w:tab w:val="left" w:pos="1090"/>
              </w:tabs>
              <w:spacing w:after="60"/>
              <w:ind w:left="1080"/>
              <w:contextualSpacing w:val="0"/>
              <w:jc w:val="left"/>
            </w:pPr>
            <w:r>
              <w:t xml:space="preserve">All </w:t>
            </w:r>
            <w:r w:rsidR="00A1572F">
              <w:t>director</w:t>
            </w:r>
            <w:r w:rsidR="0092013A">
              <w:t>s</w:t>
            </w:r>
            <w:r>
              <w:t xml:space="preserve"> attended the 201</w:t>
            </w:r>
            <w:r w:rsidR="0092013A">
              <w:t>5</w:t>
            </w:r>
            <w:r>
              <w:t xml:space="preserve"> Annual Meeting of Stockholders in person.</w:t>
            </w:r>
          </w:p>
          <w:p w:rsidR="00593DB4" w:rsidRDefault="00593DB4" w:rsidP="00593DB4">
            <w:pPr>
              <w:pStyle w:val="ListParagraph"/>
              <w:numPr>
                <w:ilvl w:val="0"/>
                <w:numId w:val="29"/>
              </w:numPr>
              <w:spacing w:after="60"/>
              <w:contextualSpacing w:val="0"/>
              <w:jc w:val="left"/>
            </w:pPr>
            <w:r>
              <w:lastRenderedPageBreak/>
              <w:t xml:space="preserve">Executive sessions of independent directors are held at all </w:t>
            </w:r>
            <w:r w:rsidR="00601EE4">
              <w:t>four</w:t>
            </w:r>
            <w:r>
              <w:t xml:space="preserve"> regularly-scheduled Board meetings and at other times as the need arises.</w:t>
            </w:r>
          </w:p>
          <w:p w:rsidR="00593DB4" w:rsidRDefault="00BA06A1" w:rsidP="00593DB4">
            <w:pPr>
              <w:pStyle w:val="ListParagraph"/>
              <w:numPr>
                <w:ilvl w:val="0"/>
                <w:numId w:val="29"/>
              </w:numPr>
              <w:spacing w:after="60"/>
              <w:contextualSpacing w:val="0"/>
              <w:jc w:val="left"/>
            </w:pPr>
            <w:r>
              <w:t>Two of the three</w:t>
            </w:r>
            <w:r w:rsidR="00593DB4" w:rsidRPr="00F14880">
              <w:t xml:space="preserve"> members of the Audit Committee are financial experts.</w:t>
            </w:r>
          </w:p>
          <w:p w:rsidR="00593DB4" w:rsidRDefault="00593DB4" w:rsidP="00593DB4">
            <w:pPr>
              <w:pStyle w:val="ListParagraph"/>
              <w:keepNext/>
              <w:widowControl/>
              <w:numPr>
                <w:ilvl w:val="0"/>
                <w:numId w:val="29"/>
              </w:numPr>
              <w:spacing w:after="60"/>
              <w:contextualSpacing w:val="0"/>
              <w:jc w:val="left"/>
            </w:pPr>
            <w:r>
              <w:t>Stock Ownership Guidelines &amp; Policies</w:t>
            </w:r>
            <w:r w:rsidR="006E7BAA">
              <w:t>:</w:t>
            </w:r>
          </w:p>
          <w:p w:rsidR="00593DB4" w:rsidRDefault="00593DB4" w:rsidP="00A1572F">
            <w:pPr>
              <w:pStyle w:val="ListParagraph"/>
              <w:numPr>
                <w:ilvl w:val="1"/>
                <w:numId w:val="29"/>
              </w:numPr>
              <w:tabs>
                <w:tab w:val="left" w:pos="1090"/>
              </w:tabs>
              <w:spacing w:after="60"/>
              <w:ind w:left="1080"/>
              <w:contextualSpacing w:val="0"/>
              <w:jc w:val="left"/>
            </w:pPr>
            <w:r>
              <w:t xml:space="preserve">Directors and executive officers are prohibited from hedging shares of the Company's common stock.  </w:t>
            </w:r>
          </w:p>
          <w:p w:rsidR="00593DB4" w:rsidRDefault="00593DB4" w:rsidP="00A1572F">
            <w:pPr>
              <w:pStyle w:val="ListParagraph"/>
              <w:numPr>
                <w:ilvl w:val="1"/>
                <w:numId w:val="29"/>
              </w:numPr>
              <w:tabs>
                <w:tab w:val="left" w:pos="1090"/>
              </w:tabs>
              <w:spacing w:after="60"/>
              <w:ind w:left="1080"/>
              <w:contextualSpacing w:val="0"/>
              <w:jc w:val="left"/>
            </w:pPr>
            <w:r w:rsidRPr="00A1572F">
              <w:t xml:space="preserve">Executive officers are required to </w:t>
            </w:r>
            <w:r w:rsidR="00402517">
              <w:t>retain</w:t>
            </w:r>
            <w:r w:rsidRPr="00A1572F">
              <w:t xml:space="preserve"> shares of the Company's common stock equal to a multiple of their base salaries</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Directors are expected to hold shares of the Company's common stock </w:t>
            </w:r>
            <w:r w:rsidR="00DB7B2D">
              <w:t xml:space="preserve">with an acquisition value </w:t>
            </w:r>
            <w:r>
              <w:t xml:space="preserve">equal to </w:t>
            </w:r>
            <w:r w:rsidRPr="00A1572F">
              <w:t xml:space="preserve">five times </w:t>
            </w:r>
            <w:r>
              <w:t xml:space="preserve">their </w:t>
            </w:r>
            <w:r w:rsidRPr="00A1572F">
              <w:t>annual retainer</w:t>
            </w:r>
            <w:r>
              <w:t xml:space="preserve">.  </w:t>
            </w:r>
          </w:p>
          <w:p w:rsidR="00593DB4" w:rsidRDefault="00593DB4" w:rsidP="00A1572F">
            <w:pPr>
              <w:pStyle w:val="ListParagraph"/>
              <w:numPr>
                <w:ilvl w:val="1"/>
                <w:numId w:val="29"/>
              </w:numPr>
              <w:tabs>
                <w:tab w:val="left" w:pos="1090"/>
              </w:tabs>
              <w:spacing w:after="60"/>
              <w:ind w:left="1080"/>
              <w:contextualSpacing w:val="0"/>
              <w:jc w:val="left"/>
            </w:pPr>
            <w:r>
              <w:t xml:space="preserve">The Company's claw-back policy </w:t>
            </w:r>
            <w:r w:rsidRPr="00B65C4C">
              <w:t xml:space="preserve">is applicable </w:t>
            </w:r>
            <w:r>
              <w:t xml:space="preserve">to incentive compensation paid </w:t>
            </w:r>
            <w:r w:rsidRPr="00B65C4C">
              <w:t>irrespective of culpability</w:t>
            </w:r>
            <w:r>
              <w:t>, and applies to both cash and equity compensation</w:t>
            </w:r>
            <w:r w:rsidRPr="00B65C4C">
              <w:t xml:space="preserve">. </w:t>
            </w:r>
          </w:p>
          <w:p w:rsidR="00593DB4" w:rsidRDefault="00593DB4" w:rsidP="00593DB4">
            <w:pPr>
              <w:pStyle w:val="ListParagraph"/>
              <w:numPr>
                <w:ilvl w:val="0"/>
                <w:numId w:val="29"/>
              </w:numPr>
              <w:spacing w:after="60"/>
              <w:contextualSpacing w:val="0"/>
              <w:jc w:val="left"/>
            </w:pPr>
            <w:r>
              <w:t xml:space="preserve">The financial goals of incentive compensation programs are subject to caps and minimum achievement levels.  </w:t>
            </w:r>
          </w:p>
          <w:p w:rsidR="0092013A" w:rsidRDefault="00593DB4" w:rsidP="0092013A">
            <w:pPr>
              <w:pStyle w:val="ListParagraph"/>
              <w:keepNext/>
              <w:numPr>
                <w:ilvl w:val="0"/>
                <w:numId w:val="29"/>
              </w:numPr>
              <w:spacing w:after="60"/>
              <w:contextualSpacing w:val="0"/>
              <w:jc w:val="left"/>
            </w:pPr>
            <w:r>
              <w:t>The Company</w:t>
            </w:r>
            <w:r w:rsidR="0092013A">
              <w:t xml:space="preserve"> currently has no change-in-</w:t>
            </w:r>
            <w:r>
              <w:t xml:space="preserve">control severance provisions </w:t>
            </w:r>
            <w:r w:rsidR="0092013A">
              <w:t>in effect with any officer of the Company</w:t>
            </w:r>
            <w:r w:rsidR="00DB7B2D">
              <w:t xml:space="preserve">; however, </w:t>
            </w:r>
            <w:r w:rsidR="0048210F">
              <w:t xml:space="preserve">their </w:t>
            </w:r>
            <w:r w:rsidR="00DB7B2D">
              <w:t>r</w:t>
            </w:r>
            <w:r w:rsidR="0092013A">
              <w:t>estricted stock</w:t>
            </w:r>
            <w:r w:rsidR="00DB7B2D">
              <w:t xml:space="preserve"> vests in the event of a change </w:t>
            </w:r>
            <w:r w:rsidR="000B4525">
              <w:t>in</w:t>
            </w:r>
            <w:r w:rsidR="00DB7B2D">
              <w:t xml:space="preserve"> control</w:t>
            </w:r>
            <w:r w:rsidR="0092013A">
              <w:t xml:space="preserve">.  </w:t>
            </w:r>
          </w:p>
          <w:p w:rsidR="00A1572F" w:rsidRDefault="00A1572F" w:rsidP="0092013A">
            <w:pPr>
              <w:pStyle w:val="ListParagraph"/>
              <w:keepNext/>
              <w:numPr>
                <w:ilvl w:val="0"/>
                <w:numId w:val="29"/>
              </w:numPr>
              <w:spacing w:after="60"/>
              <w:contextualSpacing w:val="0"/>
              <w:jc w:val="left"/>
            </w:pPr>
            <w:r>
              <w:t>Board P</w:t>
            </w:r>
            <w:r w:rsidR="00593DB4">
              <w:t xml:space="preserve">erformance </w:t>
            </w:r>
            <w:r>
              <w:t>E</w:t>
            </w:r>
            <w:r w:rsidR="00EC66C7">
              <w:t>valuation:</w:t>
            </w:r>
          </w:p>
          <w:p w:rsidR="00593DB4" w:rsidRDefault="00A1572F" w:rsidP="00A1572F">
            <w:pPr>
              <w:pStyle w:val="ListParagraph"/>
              <w:numPr>
                <w:ilvl w:val="1"/>
                <w:numId w:val="29"/>
              </w:numPr>
              <w:tabs>
                <w:tab w:val="left" w:pos="1090"/>
              </w:tabs>
              <w:spacing w:after="60"/>
              <w:ind w:left="1080"/>
              <w:contextualSpacing w:val="0"/>
              <w:jc w:val="left"/>
            </w:pPr>
            <w:r>
              <w:t xml:space="preserve">Both </w:t>
            </w:r>
            <w:r w:rsidR="00593DB4">
              <w:t>the Board and its committees</w:t>
            </w:r>
            <w:r>
              <w:t xml:space="preserve"> perform a self-evaluation annually</w:t>
            </w:r>
            <w:r w:rsidR="00593DB4">
              <w:t xml:space="preserve">.  </w:t>
            </w:r>
          </w:p>
          <w:p w:rsidR="00593DB4" w:rsidRPr="00A1572F" w:rsidRDefault="00A1572F" w:rsidP="00085829">
            <w:pPr>
              <w:pStyle w:val="ListParagraph"/>
              <w:widowControl/>
              <w:numPr>
                <w:ilvl w:val="1"/>
                <w:numId w:val="29"/>
              </w:numPr>
              <w:tabs>
                <w:tab w:val="left" w:pos="1090"/>
              </w:tabs>
              <w:spacing w:after="60"/>
              <w:ind w:left="1080"/>
              <w:contextualSpacing w:val="0"/>
              <w:jc w:val="left"/>
            </w:pPr>
            <w:r>
              <w:t>For individual director evaluation</w:t>
            </w:r>
            <w:r w:rsidR="00EE450E">
              <w:t>s</w:t>
            </w:r>
            <w:r w:rsidR="00593DB4" w:rsidRPr="00A1572F">
              <w:t xml:space="preserve">, the Chair of the Corporate Governance &amp; Nominating Committee confers with each director annually to solicit comments about nominations for election and re-election to the Board, and to permit each director to express any concerns about the functioning of the Board, its committees and its members.  </w:t>
            </w:r>
            <w:r>
              <w:t xml:space="preserve">Any concerns about the Corporate Governance &amp; Nominating Committee or its Chair are </w:t>
            </w:r>
            <w:r w:rsidR="00EE450E">
              <w:t xml:space="preserve">directed </w:t>
            </w:r>
            <w:r>
              <w:t>to the Chairman of the Board</w:t>
            </w:r>
            <w:r w:rsidR="00085829">
              <w:t xml:space="preserve">.  </w:t>
            </w:r>
          </w:p>
          <w:p w:rsidR="00593DB4" w:rsidRDefault="00593DB4" w:rsidP="00593DB4">
            <w:pPr>
              <w:pStyle w:val="ListParagraph"/>
              <w:numPr>
                <w:ilvl w:val="0"/>
                <w:numId w:val="29"/>
              </w:numPr>
              <w:contextualSpacing w:val="0"/>
              <w:jc w:val="left"/>
            </w:pPr>
            <w:r>
              <w:t>At each of the Board's regularly-scheduled meetings, directors receive an assessment and/or an update on the Company's primary risk categories.</w:t>
            </w:r>
          </w:p>
          <w:p w:rsidR="00593DB4" w:rsidRDefault="00593DB4" w:rsidP="00593DB4">
            <w:pPr>
              <w:pStyle w:val="ListParagraph"/>
              <w:widowControl/>
              <w:numPr>
                <w:ilvl w:val="0"/>
                <w:numId w:val="29"/>
              </w:numPr>
              <w:contextualSpacing w:val="0"/>
              <w:jc w:val="left"/>
            </w:pPr>
            <w:r>
              <w:t>The Company conducts annual advisory votes on executive compensation.</w:t>
            </w:r>
          </w:p>
          <w:p w:rsidR="00593DB4" w:rsidRDefault="00593DB4" w:rsidP="00593DB4">
            <w:pPr>
              <w:pStyle w:val="ListParagraph"/>
              <w:numPr>
                <w:ilvl w:val="0"/>
                <w:numId w:val="29"/>
              </w:numPr>
              <w:contextualSpacing w:val="0"/>
              <w:jc w:val="left"/>
            </w:pPr>
            <w:r>
              <w:t xml:space="preserve">The Company has no </w:t>
            </w:r>
            <w:r w:rsidR="004A6D64">
              <w:t>stockholder</w:t>
            </w:r>
            <w:r>
              <w:t xml:space="preserve">s rights plan (poison pill).  </w:t>
            </w:r>
          </w:p>
          <w:p w:rsidR="00593DB4" w:rsidRDefault="00593DB4" w:rsidP="00593DB4">
            <w:pPr>
              <w:keepNext/>
              <w:widowControl/>
              <w:spacing w:after="60"/>
              <w:ind w:left="360"/>
              <w:jc w:val="left"/>
            </w:pPr>
            <w:r>
              <w:t>Persons interested in communicating with the Board about their concerns, questions or other matters may do so as follows:</w:t>
            </w:r>
          </w:p>
          <w:p w:rsidR="00593DB4" w:rsidRPr="00A1572F" w:rsidRDefault="00593DB4" w:rsidP="00A1572F">
            <w:pPr>
              <w:keepNext/>
              <w:widowControl/>
              <w:spacing w:after="0"/>
              <w:ind w:left="720"/>
              <w:jc w:val="left"/>
              <w:rPr>
                <w:i/>
              </w:rPr>
            </w:pPr>
            <w:r w:rsidRPr="00A1572F">
              <w:rPr>
                <w:i/>
              </w:rPr>
              <w:t xml:space="preserve">By U.S. Mail to: </w:t>
            </w:r>
          </w:p>
          <w:p w:rsidR="00593DB4" w:rsidRDefault="00593DB4" w:rsidP="00593DB4">
            <w:pPr>
              <w:keepNext/>
              <w:widowControl/>
              <w:spacing w:after="0"/>
              <w:ind w:left="990"/>
              <w:jc w:val="left"/>
            </w:pPr>
            <w:r>
              <w:t>Board of Directors</w:t>
            </w:r>
          </w:p>
          <w:p w:rsidR="00593DB4" w:rsidRDefault="00593DB4" w:rsidP="00593DB4">
            <w:pPr>
              <w:keepNext/>
              <w:widowControl/>
              <w:spacing w:after="0"/>
              <w:ind w:left="990"/>
              <w:jc w:val="left"/>
            </w:pPr>
            <w:r>
              <w:t>℅ The Secretary</w:t>
            </w:r>
          </w:p>
          <w:p w:rsidR="00593DB4" w:rsidRDefault="00593DB4" w:rsidP="00593DB4">
            <w:pPr>
              <w:keepNext/>
              <w:widowControl/>
              <w:spacing w:after="0"/>
              <w:ind w:left="990"/>
              <w:jc w:val="left"/>
            </w:pPr>
            <w:r>
              <w:t>Sterling Construction Company, Inc.</w:t>
            </w:r>
          </w:p>
          <w:p w:rsidR="00593DB4" w:rsidRDefault="00593DB4" w:rsidP="00593DB4">
            <w:pPr>
              <w:keepNext/>
              <w:widowControl/>
              <w:spacing w:after="0"/>
              <w:ind w:left="990"/>
              <w:jc w:val="left"/>
            </w:pPr>
            <w:r>
              <w:t>1800 Hughes Landing Blvd. — Suite 250</w:t>
            </w:r>
          </w:p>
          <w:p w:rsidR="00593DB4" w:rsidRDefault="00593DB4" w:rsidP="00593DB4">
            <w:pPr>
              <w:widowControl/>
              <w:spacing w:after="0"/>
              <w:ind w:left="990"/>
              <w:jc w:val="left"/>
            </w:pPr>
            <w:r>
              <w:t>The Woodlands, TX 77380</w:t>
            </w:r>
          </w:p>
          <w:p w:rsidR="00593DB4" w:rsidRDefault="00593DB4" w:rsidP="00593DB4">
            <w:pPr>
              <w:widowControl/>
              <w:spacing w:after="0"/>
              <w:ind w:firstLine="2070"/>
              <w:jc w:val="left"/>
            </w:pPr>
            <w:r w:rsidRPr="00CB404C">
              <w:rPr>
                <w:i/>
              </w:rPr>
              <w:t>or</w:t>
            </w:r>
          </w:p>
          <w:p w:rsidR="00593DB4" w:rsidRPr="000D27E8" w:rsidRDefault="00593DB4" w:rsidP="00132B7D">
            <w:pPr>
              <w:keepNext/>
              <w:widowControl/>
              <w:spacing w:after="60"/>
              <w:ind w:left="720"/>
              <w:jc w:val="left"/>
              <w:rPr>
                <w:smallCaps/>
              </w:rPr>
            </w:pPr>
            <w:r w:rsidRPr="00A1572F">
              <w:rPr>
                <w:i/>
              </w:rPr>
              <w:t xml:space="preserve">By </w:t>
            </w:r>
            <w:r w:rsidR="00132B7D">
              <w:rPr>
                <w:i/>
              </w:rPr>
              <w:t>E</w:t>
            </w:r>
            <w:r w:rsidRPr="00A1572F">
              <w:rPr>
                <w:i/>
              </w:rPr>
              <w:t>-mail to:</w:t>
            </w:r>
            <w:r>
              <w:t xml:space="preserve">  </w:t>
            </w:r>
            <w:hyperlink r:id="rId12" w:history="1">
              <w:r w:rsidRPr="00337CA5">
                <w:rPr>
                  <w:rStyle w:val="Hyperlink"/>
                </w:rPr>
                <w:t>Reports@Lighthouse-Services.com</w:t>
              </w:r>
            </w:hyperlink>
          </w:p>
        </w:tc>
      </w:tr>
    </w:tbl>
    <w:p w:rsidR="001606E1" w:rsidRDefault="001606E1" w:rsidP="001606E1">
      <w:pPr>
        <w:widowControl/>
        <w:spacing w:after="0"/>
        <w:ind w:firstLine="720"/>
        <w:jc w:val="left"/>
      </w:pPr>
    </w:p>
    <w:p w:rsidR="00946453" w:rsidRDefault="00946453" w:rsidP="00C51625">
      <w:pPr>
        <w:widowControl/>
        <w:spacing w:after="0"/>
        <w:ind w:firstLine="720"/>
        <w:jc w:val="left"/>
        <w:sectPr w:rsidR="00946453" w:rsidSect="006C047B">
          <w:footerReference w:type="default" r:id="rId13"/>
          <w:pgSz w:w="12240" w:h="15840" w:code="1"/>
          <w:pgMar w:top="1008" w:right="1440" w:bottom="720" w:left="1440" w:header="0" w:footer="720" w:gutter="0"/>
          <w:pgNumType w:fmt="upperRoman" w:start="1"/>
          <w:cols w:space="720"/>
          <w:docGrid w:linePitch="360"/>
        </w:sectPr>
      </w:pPr>
    </w:p>
    <w:p w:rsidR="00C85F73" w:rsidRPr="00C85F73" w:rsidRDefault="00C85F73" w:rsidP="00F03616">
      <w:pPr>
        <w:widowControl/>
        <w:tabs>
          <w:tab w:val="left" w:pos="1080"/>
        </w:tabs>
        <w:spacing w:after="40"/>
        <w:jc w:val="center"/>
        <w:rPr>
          <w:b/>
          <w:smallCaps/>
        </w:rPr>
      </w:pPr>
      <w:r w:rsidRPr="00C85F73">
        <w:rPr>
          <w:b/>
          <w:smallCaps/>
        </w:rPr>
        <w:lastRenderedPageBreak/>
        <w:t>STERLING CONSTRUCTION COMPANY, INC.</w:t>
      </w:r>
    </w:p>
    <w:p w:rsidR="00DF2FE8" w:rsidRPr="000765E8" w:rsidRDefault="00DF2FE8" w:rsidP="00F03616">
      <w:pPr>
        <w:widowControl/>
        <w:tabs>
          <w:tab w:val="left" w:pos="1080"/>
        </w:tabs>
        <w:spacing w:after="40"/>
        <w:jc w:val="center"/>
        <w:rPr>
          <w:sz w:val="22"/>
          <w:szCs w:val="22"/>
        </w:rPr>
      </w:pPr>
      <w:r>
        <w:rPr>
          <w:sz w:val="22"/>
          <w:szCs w:val="22"/>
        </w:rPr>
        <w:t xml:space="preserve">1800 Hughes Landing </w:t>
      </w:r>
      <w:r w:rsidRPr="00DF2FE8">
        <w:rPr>
          <w:sz w:val="22"/>
          <w:szCs w:val="22"/>
        </w:rPr>
        <w:t>Boulevard</w:t>
      </w:r>
    </w:p>
    <w:p w:rsidR="00DF2FE8" w:rsidRPr="000765E8" w:rsidRDefault="00DF2FE8" w:rsidP="00F03616">
      <w:pPr>
        <w:widowControl/>
        <w:tabs>
          <w:tab w:val="left" w:pos="1080"/>
        </w:tabs>
        <w:spacing w:after="40"/>
        <w:jc w:val="center"/>
        <w:rPr>
          <w:sz w:val="22"/>
          <w:szCs w:val="22"/>
        </w:rPr>
      </w:pPr>
      <w:r>
        <w:rPr>
          <w:sz w:val="22"/>
          <w:szCs w:val="22"/>
        </w:rPr>
        <w:t>The Woodlands</w:t>
      </w:r>
      <w:r w:rsidRPr="000765E8">
        <w:rPr>
          <w:sz w:val="22"/>
          <w:szCs w:val="22"/>
        </w:rPr>
        <w:t>, Texas 77</w:t>
      </w:r>
      <w:r>
        <w:rPr>
          <w:sz w:val="22"/>
          <w:szCs w:val="22"/>
        </w:rPr>
        <w:t>380</w:t>
      </w:r>
    </w:p>
    <w:p w:rsidR="00DF2FE8" w:rsidRPr="00DF2FE8" w:rsidRDefault="00DF2FE8" w:rsidP="00DF2FE8">
      <w:pPr>
        <w:widowControl/>
        <w:tabs>
          <w:tab w:val="left" w:pos="1080"/>
        </w:tabs>
        <w:spacing w:after="240"/>
        <w:jc w:val="center"/>
        <w:rPr>
          <w:i/>
          <w:sz w:val="20"/>
        </w:rPr>
      </w:pPr>
      <w:r w:rsidRPr="00DF2FE8">
        <w:rPr>
          <w:i/>
          <w:sz w:val="20"/>
        </w:rPr>
        <w:t>Telephone: (281) 214-0800</w:t>
      </w:r>
    </w:p>
    <w:p w:rsidR="00C85F73" w:rsidRPr="00D56CA1" w:rsidRDefault="00C85F73" w:rsidP="00BA06A1">
      <w:pPr>
        <w:widowControl/>
        <w:tabs>
          <w:tab w:val="left" w:pos="1080"/>
        </w:tabs>
        <w:jc w:val="center"/>
        <w:rPr>
          <w:b/>
          <w:smallCaps/>
          <w:sz w:val="24"/>
          <w:szCs w:val="24"/>
        </w:rPr>
      </w:pPr>
      <w:r w:rsidRPr="002F5B67">
        <w:rPr>
          <w:b/>
          <w:smallCaps/>
          <w:sz w:val="28"/>
          <w:szCs w:val="28"/>
        </w:rPr>
        <w:t>proxy statement</w:t>
      </w:r>
    </w:p>
    <w:p w:rsidR="00DD0A98" w:rsidRPr="00D56CA1" w:rsidRDefault="00D56CA1" w:rsidP="00075F08">
      <w:pPr>
        <w:widowControl/>
        <w:tabs>
          <w:tab w:val="left" w:pos="1080"/>
        </w:tabs>
        <w:spacing w:after="400"/>
        <w:jc w:val="center"/>
        <w:rPr>
          <w:b/>
          <w:smallCaps/>
          <w:sz w:val="24"/>
          <w:szCs w:val="24"/>
        </w:rPr>
      </w:pPr>
      <w:r w:rsidRPr="00D56CA1">
        <w:rPr>
          <w:b/>
          <w:smallCaps/>
          <w:sz w:val="24"/>
          <w:szCs w:val="24"/>
        </w:rPr>
        <w:t>FOR THE 201</w:t>
      </w:r>
      <w:r w:rsidR="00F31937">
        <w:rPr>
          <w:b/>
          <w:smallCaps/>
          <w:sz w:val="24"/>
          <w:szCs w:val="24"/>
        </w:rPr>
        <w:t>6</w:t>
      </w:r>
      <w:r w:rsidRPr="00D56CA1">
        <w:rPr>
          <w:b/>
          <w:smallCaps/>
          <w:sz w:val="24"/>
          <w:szCs w:val="24"/>
        </w:rPr>
        <w:t xml:space="preserve"> ANNUAL MEETING OF STOCKHOLDERS</w:t>
      </w:r>
    </w:p>
    <w:p w:rsidR="00C85F73" w:rsidRPr="00743B23" w:rsidRDefault="00743B23" w:rsidP="009C3494">
      <w:pPr>
        <w:pStyle w:val="001Proxy"/>
        <w:pBdr>
          <w:bottom w:val="single" w:sz="12" w:space="1" w:color="auto"/>
        </w:pBdr>
      </w:pPr>
      <w:bookmarkStart w:id="10" w:name="_Toc381354093"/>
      <w:bookmarkStart w:id="11" w:name="_Toc445739542"/>
      <w:r w:rsidRPr="00743B23">
        <w:t>GENERAL INFORMATION</w:t>
      </w:r>
      <w:bookmarkEnd w:id="10"/>
      <w:bookmarkEnd w:id="11"/>
    </w:p>
    <w:p w:rsidR="0027579E" w:rsidRPr="005F0E14" w:rsidRDefault="0027579E" w:rsidP="00D80B56">
      <w:pPr>
        <w:widowControl/>
        <w:tabs>
          <w:tab w:val="left" w:pos="1080"/>
        </w:tabs>
        <w:spacing w:before="240"/>
        <w:jc w:val="left"/>
      </w:pPr>
      <w:r>
        <w:t>In this Proxy Statement, Sterling Construction Company, Inc. is sometimes referred to as the Company, and the Board of Directors of the Company is sometimes referred to as the Board.  The Company is making this Proxy Statement, the form of proxy</w:t>
      </w:r>
      <w:r w:rsidR="00D53839">
        <w:t>,</w:t>
      </w:r>
      <w:r>
        <w:t xml:space="preserve"> and the Company's 201</w:t>
      </w:r>
      <w:r w:rsidR="00D90D47">
        <w:t>5</w:t>
      </w:r>
      <w:r>
        <w:t xml:space="preserve"> Annual Report on Form 10-K available to stockholders starting on </w:t>
      </w:r>
      <w:r w:rsidR="00237B0C" w:rsidRPr="009C317F">
        <w:t xml:space="preserve">March </w:t>
      </w:r>
      <w:r w:rsidR="009745B5">
        <w:t>24</w:t>
      </w:r>
      <w:r>
        <w:t>, 201</w:t>
      </w:r>
      <w:r w:rsidR="00D90D47">
        <w:t>6</w:t>
      </w:r>
      <w:r>
        <w:t xml:space="preserve"> in connection with the solicitation of proxies by the Board for the 201</w:t>
      </w:r>
      <w:r w:rsidR="00D90D47">
        <w:t>6</w:t>
      </w:r>
      <w:r>
        <w:t xml:space="preserve"> Annual Meeting of Stockholders.  The Annual Meeting will be held on </w:t>
      </w:r>
      <w:r w:rsidR="00237B0C">
        <w:t>Friday</w:t>
      </w:r>
      <w:r>
        <w:t xml:space="preserve">, May </w:t>
      </w:r>
      <w:r w:rsidR="00D90D47">
        <w:t>6</w:t>
      </w:r>
      <w:r>
        <w:t>, 201</w:t>
      </w:r>
      <w:r w:rsidR="00D90D47">
        <w:t>6</w:t>
      </w:r>
      <w:r>
        <w:t xml:space="preserve"> at </w:t>
      </w:r>
      <w:r w:rsidR="003D5012">
        <w:t>8:30</w:t>
      </w:r>
      <w:r>
        <w:t xml:space="preserve"> a.m. local time </w:t>
      </w:r>
      <w:r w:rsidRPr="00903688">
        <w:t xml:space="preserve">at </w:t>
      </w:r>
      <w:r w:rsidR="001D437D" w:rsidRPr="00903688">
        <w:t>the Company's headquarter</w:t>
      </w:r>
      <w:r w:rsidR="005F15D0">
        <w:t>s</w:t>
      </w:r>
      <w:r w:rsidR="001D437D" w:rsidRPr="00903688">
        <w:t xml:space="preserve"> office at </w:t>
      </w:r>
      <w:r w:rsidR="00237B0C" w:rsidRPr="00903688">
        <w:t xml:space="preserve">1800 Hughes Landing Boulevard — </w:t>
      </w:r>
      <w:r w:rsidR="005F15D0">
        <w:t>Suite 250</w:t>
      </w:r>
      <w:r w:rsidR="00237B0C" w:rsidRPr="00903688">
        <w:t>, The Woodlands, Texas 77380</w:t>
      </w:r>
      <w:r w:rsidRPr="00903688">
        <w:t xml:space="preserve">.  </w:t>
      </w:r>
    </w:p>
    <w:p w:rsidR="00E26F87" w:rsidRDefault="0027579E" w:rsidP="00D80B56">
      <w:pPr>
        <w:widowControl/>
        <w:tabs>
          <w:tab w:val="left" w:pos="1080"/>
        </w:tabs>
        <w:jc w:val="left"/>
      </w:pPr>
      <w:r>
        <w:t xml:space="preserve">On </w:t>
      </w:r>
      <w:r w:rsidR="00237B0C" w:rsidRPr="009C317F">
        <w:t xml:space="preserve">March </w:t>
      </w:r>
      <w:r w:rsidR="009745B5">
        <w:t>24</w:t>
      </w:r>
      <w:r>
        <w:t>, 201</w:t>
      </w:r>
      <w:r w:rsidR="00D90D47">
        <w:t>6</w:t>
      </w:r>
      <w:r>
        <w:t>, the Company mailed a</w:t>
      </w:r>
      <w:r w:rsidR="00E26F87">
        <w:t xml:space="preserve"> </w:t>
      </w:r>
      <w:r w:rsidR="00E26F87" w:rsidRPr="00E26F87">
        <w:rPr>
          <w:i/>
        </w:rPr>
        <w:t>Notice of Internet Availability of Proxy Materials</w:t>
      </w:r>
      <w:r w:rsidR="00E26F87">
        <w:t xml:space="preserve"> (the Availability Notice) to stockholders of record on </w:t>
      </w:r>
      <w:r w:rsidR="00237B0C">
        <w:t xml:space="preserve">March </w:t>
      </w:r>
      <w:r w:rsidR="009745B5">
        <w:t>8</w:t>
      </w:r>
      <w:r w:rsidR="00E26F87">
        <w:t>, 201</w:t>
      </w:r>
      <w:r w:rsidR="00D90D47">
        <w:t>6</w:t>
      </w:r>
      <w:r w:rsidR="00E26F87">
        <w:t xml:space="preserve"> (the Record Date) and posted the proxy materials on the Company's website:  </w:t>
      </w:r>
    </w:p>
    <w:p w:rsidR="00E26F87" w:rsidRDefault="003A711E" w:rsidP="00430774">
      <w:pPr>
        <w:widowControl/>
        <w:tabs>
          <w:tab w:val="left" w:pos="1080"/>
        </w:tabs>
        <w:spacing w:after="60"/>
        <w:jc w:val="center"/>
      </w:pPr>
      <w:hyperlink r:id="rId14" w:history="1">
        <w:r w:rsidR="00DF2FE8" w:rsidRPr="00600127">
          <w:rPr>
            <w:rStyle w:val="Hyperlink"/>
          </w:rPr>
          <w:t>www.</w:t>
        </w:r>
        <w:r w:rsidR="00A909FB" w:rsidRPr="00600127">
          <w:rPr>
            <w:rStyle w:val="Hyperlink"/>
          </w:rPr>
          <w:t>STRLc</w:t>
        </w:r>
        <w:r w:rsidR="00DF2FE8" w:rsidRPr="00600127">
          <w:rPr>
            <w:rStyle w:val="Hyperlink"/>
          </w:rPr>
          <w:t>o.com</w:t>
        </w:r>
      </w:hyperlink>
    </w:p>
    <w:p w:rsidR="00E26F87" w:rsidRDefault="00E26F87" w:rsidP="00075F08">
      <w:pPr>
        <w:widowControl/>
        <w:tabs>
          <w:tab w:val="left" w:pos="1080"/>
        </w:tabs>
        <w:spacing w:after="60"/>
        <w:jc w:val="center"/>
      </w:pPr>
      <w:r>
        <w:t>as well as on the website provided in the Availability Notice:</w:t>
      </w:r>
    </w:p>
    <w:p w:rsidR="0015372A" w:rsidRPr="009C0077" w:rsidRDefault="003A711E" w:rsidP="00D80B56">
      <w:pPr>
        <w:widowControl/>
        <w:tabs>
          <w:tab w:val="left" w:pos="1080"/>
        </w:tabs>
        <w:jc w:val="center"/>
        <w:rPr>
          <w:szCs w:val="23"/>
        </w:rPr>
      </w:pPr>
      <w:hyperlink r:id="rId15" w:history="1">
        <w:r w:rsidR="0015372A" w:rsidRPr="009C0077">
          <w:rPr>
            <w:rStyle w:val="Hyperlink"/>
            <w:szCs w:val="23"/>
          </w:rPr>
          <w:t>http://www.astproxyportal.com/ast/04770</w:t>
        </w:r>
      </w:hyperlink>
    </w:p>
    <w:p w:rsidR="00E26F87" w:rsidRDefault="00E26F87" w:rsidP="003359BC">
      <w:pPr>
        <w:widowControl/>
        <w:tabs>
          <w:tab w:val="left" w:pos="1080"/>
        </w:tabs>
        <w:spacing w:after="60"/>
        <w:jc w:val="left"/>
      </w:pPr>
      <w:r>
        <w:t xml:space="preserve">The Company is sending the Availability </w:t>
      </w:r>
      <w:r w:rsidR="00405BAD">
        <w:t xml:space="preserve">Notice </w:t>
      </w:r>
      <w:r>
        <w:t>to all stockholders of record instead of mailing them a printed set of the proxy materials</w:t>
      </w:r>
      <w:r w:rsidR="00430774">
        <w:t xml:space="preserve"> to save postage and paper.  A</w:t>
      </w:r>
      <w:r>
        <w:t xml:space="preserve">s stated in the Availability Notice, if you wish to obtain a printed set of the proxy materials, you can do so without charge by requesting a copy </w:t>
      </w:r>
      <w:r w:rsidR="00430774">
        <w:t xml:space="preserve">either </w:t>
      </w:r>
      <w:r>
        <w:t xml:space="preserve">by </w:t>
      </w:r>
      <w:r w:rsidR="00EF35E3">
        <w:t>telephone, by e-mail</w:t>
      </w:r>
      <w:r w:rsidR="00430774">
        <w:t>,</w:t>
      </w:r>
      <w:r w:rsidR="00EF35E3">
        <w:t xml:space="preserve"> or through</w:t>
      </w:r>
      <w:r>
        <w:t xml:space="preserve"> either of the websites listed above, all as described in the Availability Notice.  </w:t>
      </w:r>
    </w:p>
    <w:p w:rsidR="00E26F87" w:rsidRPr="004412ED" w:rsidRDefault="00E26F87" w:rsidP="00D80B56">
      <w:pPr>
        <w:widowControl/>
        <w:tabs>
          <w:tab w:val="left" w:pos="1080"/>
        </w:tabs>
        <w:jc w:val="left"/>
      </w:pPr>
      <w:r>
        <w:t>On or about</w:t>
      </w:r>
      <w:r w:rsidRPr="009C0077">
        <w:t xml:space="preserve"> </w:t>
      </w:r>
      <w:r w:rsidR="00237B0C" w:rsidRPr="009C0077">
        <w:t xml:space="preserve">April </w:t>
      </w:r>
      <w:r w:rsidR="00E03A18">
        <w:t>5</w:t>
      </w:r>
      <w:r w:rsidRPr="009C0077">
        <w:t>, 201</w:t>
      </w:r>
      <w:r w:rsidR="00E03A18">
        <w:t>6</w:t>
      </w:r>
      <w:r w:rsidRPr="009C0077">
        <w:t>, th</w:t>
      </w:r>
      <w:r w:rsidRPr="004412ED">
        <w:t xml:space="preserve">e Company plans to mail a second Availability Notice to stockholders that will be accompanied by a proxy card on which you can indicate how you wish your shares to be voted.  </w:t>
      </w:r>
    </w:p>
    <w:p w:rsidR="00A442DD" w:rsidRDefault="00E26F87" w:rsidP="00D80B56">
      <w:pPr>
        <w:widowControl/>
        <w:tabs>
          <w:tab w:val="left" w:pos="1080"/>
        </w:tabs>
        <w:jc w:val="left"/>
      </w:pPr>
      <w:bookmarkStart w:id="12" w:name="_Toc381354094"/>
      <w:bookmarkStart w:id="13" w:name="_Toc445739543"/>
      <w:r w:rsidRPr="004412ED">
        <w:rPr>
          <w:rStyle w:val="002ProxyChar"/>
        </w:rPr>
        <w:t>The Record Date</w:t>
      </w:r>
      <w:bookmarkEnd w:id="12"/>
      <w:bookmarkEnd w:id="13"/>
      <w:r w:rsidRPr="004412ED">
        <w:t xml:space="preserve">.  The Company </w:t>
      </w:r>
      <w:r w:rsidR="00633991" w:rsidRPr="004412ED">
        <w:t xml:space="preserve">has </w:t>
      </w:r>
      <w:r w:rsidRPr="004412ED">
        <w:t xml:space="preserve">established </w:t>
      </w:r>
      <w:r w:rsidR="00237B0C" w:rsidRPr="004412ED">
        <w:t xml:space="preserve">March </w:t>
      </w:r>
      <w:r w:rsidR="009745B5">
        <w:t>8</w:t>
      </w:r>
      <w:r w:rsidRPr="004412ED">
        <w:t>,</w:t>
      </w:r>
      <w:r w:rsidRPr="00E26F87">
        <w:t xml:space="preserve"> 201</w:t>
      </w:r>
      <w:r w:rsidR="00E03A18">
        <w:t>6</w:t>
      </w:r>
      <w:r w:rsidRPr="00E26F87">
        <w:t xml:space="preserve"> as the Record Date.  The persons or entities whose names appear on the records of the Company </w:t>
      </w:r>
      <w:r w:rsidR="005B293F">
        <w:t xml:space="preserve">on that date </w:t>
      </w:r>
      <w:r w:rsidRPr="00E26F87">
        <w:t>as holders of the Company's common stock are entitled to notice of the Annual Meeting and to vote at the Annual Meeting</w:t>
      </w:r>
      <w:r w:rsidR="00B82991">
        <w:t>,</w:t>
      </w:r>
      <w:r w:rsidRPr="00E26F87">
        <w:t xml:space="preserve"> or at any adjournment of the meeting.  On the Record Date, there were </w:t>
      </w:r>
      <w:r w:rsidR="009745B5" w:rsidRPr="009745B5">
        <w:t>19,</w:t>
      </w:r>
      <w:r w:rsidR="009745B5">
        <w:t xml:space="preserve">773,170 </w:t>
      </w:r>
      <w:r w:rsidRPr="00E26F87">
        <w:t xml:space="preserve">shares of the Company's common stock outstanding.  </w:t>
      </w:r>
    </w:p>
    <w:p w:rsidR="008D2698" w:rsidRDefault="0017208F" w:rsidP="00D80B56">
      <w:pPr>
        <w:widowControl/>
        <w:tabs>
          <w:tab w:val="left" w:pos="1080"/>
        </w:tabs>
        <w:jc w:val="left"/>
      </w:pPr>
      <w:bookmarkStart w:id="14" w:name="_Toc381354095"/>
      <w:bookmarkStart w:id="15" w:name="_Toc445739544"/>
      <w:r w:rsidRPr="005250B8">
        <w:rPr>
          <w:rStyle w:val="002ProxyChar"/>
        </w:rPr>
        <w:t>Methods of Voting</w:t>
      </w:r>
      <w:bookmarkEnd w:id="14"/>
      <w:bookmarkEnd w:id="15"/>
      <w:r w:rsidRPr="0017208F">
        <w:t xml:space="preserve">.  As a holder of </w:t>
      </w:r>
      <w:r w:rsidR="007B6802">
        <w:t xml:space="preserve">record </w:t>
      </w:r>
      <w:r w:rsidR="008B397A">
        <w:t xml:space="preserve">of </w:t>
      </w:r>
      <w:r w:rsidRPr="0017208F">
        <w:t xml:space="preserve">common stock of the Company on the Record Date, you may vote your shares either by coming to the Annual Meeting and voting in person, or by appointing someone to vote your shares for you by giving that person a proxy.  </w:t>
      </w:r>
    </w:p>
    <w:p w:rsidR="00E26F87" w:rsidRDefault="008D2698" w:rsidP="00D80B56">
      <w:pPr>
        <w:widowControl/>
        <w:tabs>
          <w:tab w:val="left" w:pos="1080"/>
        </w:tabs>
        <w:jc w:val="left"/>
      </w:pPr>
      <w:bookmarkStart w:id="16" w:name="_Toc381354096"/>
      <w:bookmarkStart w:id="17" w:name="_Toc445739545"/>
      <w:r w:rsidRPr="008D2698">
        <w:rPr>
          <w:rStyle w:val="003ProxyChar"/>
        </w:rPr>
        <w:t>Voting in Person</w:t>
      </w:r>
      <w:bookmarkEnd w:id="16"/>
      <w:bookmarkEnd w:id="17"/>
      <w:r>
        <w:t xml:space="preserve">.  To vote </w:t>
      </w:r>
      <w:r w:rsidR="00EF2C20">
        <w:t xml:space="preserve">your shares </w:t>
      </w:r>
      <w:r>
        <w:t xml:space="preserve">in person, come to the meeting at </w:t>
      </w:r>
      <w:r w:rsidR="00633991">
        <w:t xml:space="preserve">the </w:t>
      </w:r>
      <w:r w:rsidR="00EF2C20">
        <w:t>date</w:t>
      </w:r>
      <w:r w:rsidR="00B46FFE">
        <w:t>,</w:t>
      </w:r>
      <w:r w:rsidR="00EF2C20">
        <w:t xml:space="preserve"> time and </w:t>
      </w:r>
      <w:r>
        <w:t>address set forth</w:t>
      </w:r>
      <w:r w:rsidR="00EF2C20">
        <w:t xml:space="preserve"> above</w:t>
      </w:r>
      <w:r>
        <w:t xml:space="preserve"> in the </w:t>
      </w:r>
      <w:r w:rsidR="00EF2C20">
        <w:t>N</w:t>
      </w:r>
      <w:r w:rsidR="00EF2C20" w:rsidRPr="00EF2C20">
        <w:t>otice of the 201</w:t>
      </w:r>
      <w:r w:rsidR="0051530B">
        <w:t>6</w:t>
      </w:r>
      <w:r w:rsidR="00EF2C20" w:rsidRPr="00EF2C20">
        <w:t xml:space="preserve"> Annual Meeting of Stockholders</w:t>
      </w:r>
      <w:r w:rsidR="00BA06A1">
        <w:t>,</w:t>
      </w:r>
      <w:r w:rsidR="00EF2C20" w:rsidRPr="00EF2C20">
        <w:t xml:space="preserve"> </w:t>
      </w:r>
      <w:r>
        <w:t>and you will be given a ballot on which you can vote your shares</w:t>
      </w:r>
      <w:r w:rsidR="00EF2C20">
        <w:t xml:space="preserve"> on each of the proposals</w:t>
      </w:r>
      <w:r>
        <w:t>.</w:t>
      </w:r>
      <w:r w:rsidR="0017208F" w:rsidRPr="0017208F">
        <w:t xml:space="preserve">  </w:t>
      </w:r>
    </w:p>
    <w:p w:rsidR="00A442DD" w:rsidRPr="00A442DD" w:rsidRDefault="00E93938" w:rsidP="00D80B56">
      <w:pPr>
        <w:widowControl/>
        <w:tabs>
          <w:tab w:val="left" w:pos="1080"/>
        </w:tabs>
        <w:jc w:val="left"/>
        <w:rPr>
          <w:b/>
        </w:rPr>
      </w:pPr>
      <w:r>
        <w:rPr>
          <w:b/>
        </w:rPr>
        <w:t>However</w:t>
      </w:r>
      <w:r w:rsidR="00A442DD">
        <w:rPr>
          <w:b/>
        </w:rPr>
        <w:t>, i</w:t>
      </w:r>
      <w:r w:rsidR="00A442DD" w:rsidRPr="00A442DD">
        <w:rPr>
          <w:b/>
        </w:rPr>
        <w:t xml:space="preserve">f your shares are held for you in the name of your broker, bank or other nominee, evidence of your stock ownership </w:t>
      </w:r>
      <w:r w:rsidR="00A442DD">
        <w:rPr>
          <w:b/>
        </w:rPr>
        <w:t>on</w:t>
      </w:r>
      <w:r w:rsidR="00A442DD" w:rsidRPr="00A442DD">
        <w:rPr>
          <w:b/>
        </w:rPr>
        <w:t xml:space="preserve"> </w:t>
      </w:r>
      <w:r w:rsidR="00AA4B2F">
        <w:rPr>
          <w:b/>
        </w:rPr>
        <w:t xml:space="preserve">the record date, </w:t>
      </w:r>
      <w:r w:rsidR="00A442DD" w:rsidRPr="00AA4B2F">
        <w:rPr>
          <w:b/>
        </w:rPr>
        <w:t xml:space="preserve">March </w:t>
      </w:r>
      <w:r w:rsidR="0051530B">
        <w:rPr>
          <w:b/>
        </w:rPr>
        <w:t>8</w:t>
      </w:r>
      <w:r w:rsidR="00A442DD" w:rsidRPr="00A442DD">
        <w:rPr>
          <w:b/>
        </w:rPr>
        <w:t>, 201</w:t>
      </w:r>
      <w:r w:rsidR="0051530B">
        <w:rPr>
          <w:b/>
        </w:rPr>
        <w:t>6</w:t>
      </w:r>
      <w:r w:rsidR="00A442DD">
        <w:rPr>
          <w:b/>
        </w:rPr>
        <w:t xml:space="preserve"> </w:t>
      </w:r>
      <w:r w:rsidR="00A442DD" w:rsidRPr="00A442DD">
        <w:rPr>
          <w:b/>
        </w:rPr>
        <w:t xml:space="preserve">(such as a current letter </w:t>
      </w:r>
      <w:r w:rsidR="00A442DD" w:rsidRPr="00A442DD">
        <w:rPr>
          <w:b/>
        </w:rPr>
        <w:lastRenderedPageBreak/>
        <w:t>from your broker, bank or other nominee</w:t>
      </w:r>
      <w:r w:rsidR="00AA4B2F">
        <w:rPr>
          <w:b/>
        </w:rPr>
        <w:t>,</w:t>
      </w:r>
      <w:r w:rsidR="00A442DD" w:rsidRPr="00A442DD">
        <w:rPr>
          <w:b/>
        </w:rPr>
        <w:t xml:space="preserve"> or a photocopy </w:t>
      </w:r>
      <w:r w:rsidR="004A6AF8">
        <w:rPr>
          <w:b/>
        </w:rPr>
        <w:t xml:space="preserve">of your </w:t>
      </w:r>
      <w:r w:rsidR="00A442DD" w:rsidRPr="00A442DD">
        <w:rPr>
          <w:b/>
        </w:rPr>
        <w:t>brokerage or other account statement</w:t>
      </w:r>
      <w:r w:rsidR="0051530B">
        <w:rPr>
          <w:b/>
        </w:rPr>
        <w:t xml:space="preserve"> for March 2016</w:t>
      </w:r>
      <w:r w:rsidR="00A442DD" w:rsidRPr="00A442DD">
        <w:rPr>
          <w:b/>
        </w:rPr>
        <w:t xml:space="preserve">) </w:t>
      </w:r>
      <w:r w:rsidR="00A442DD">
        <w:rPr>
          <w:b/>
        </w:rPr>
        <w:t xml:space="preserve">must be presented at the meeting in order for you to vote </w:t>
      </w:r>
      <w:r>
        <w:rPr>
          <w:b/>
        </w:rPr>
        <w:t>your shares</w:t>
      </w:r>
      <w:r w:rsidR="00A442DD">
        <w:rPr>
          <w:b/>
        </w:rPr>
        <w:t xml:space="preserve"> in person</w:t>
      </w:r>
      <w:r w:rsidR="00A442DD" w:rsidRPr="00A442DD">
        <w:rPr>
          <w:b/>
        </w:rPr>
        <w:t>.</w:t>
      </w:r>
    </w:p>
    <w:p w:rsidR="00AC3A16" w:rsidRDefault="00AC3A16" w:rsidP="003359BC">
      <w:pPr>
        <w:widowControl/>
        <w:tabs>
          <w:tab w:val="left" w:pos="1080"/>
        </w:tabs>
        <w:spacing w:after="60"/>
        <w:jc w:val="left"/>
      </w:pPr>
      <w:bookmarkStart w:id="18" w:name="_Toc381354097"/>
      <w:bookmarkStart w:id="19" w:name="_Toc445739546"/>
      <w:r w:rsidRPr="005250B8">
        <w:rPr>
          <w:rStyle w:val="003ProxyChar"/>
        </w:rPr>
        <w:t>Voting by Proxy</w:t>
      </w:r>
      <w:bookmarkEnd w:id="18"/>
      <w:bookmarkEnd w:id="19"/>
      <w:r>
        <w:t xml:space="preserve">.  </w:t>
      </w:r>
      <w:r w:rsidR="008D2698" w:rsidRPr="0017208F">
        <w:t xml:space="preserve">In this Proxy Statement, you are being asked to appoint each of </w:t>
      </w:r>
      <w:r w:rsidR="007E0B20">
        <w:t xml:space="preserve">Milton L. Scott, </w:t>
      </w:r>
      <w:r w:rsidR="008D2698" w:rsidRPr="0017208F">
        <w:t>the Chairman</w:t>
      </w:r>
      <w:r w:rsidR="004B3D77">
        <w:t xml:space="preserve"> of the Board of Directors</w:t>
      </w:r>
      <w:r w:rsidR="008D2698" w:rsidRPr="0017208F">
        <w:t xml:space="preserve">; </w:t>
      </w:r>
      <w:r w:rsidR="00C65E3D">
        <w:t>Ronald A. Ballschmiede</w:t>
      </w:r>
      <w:r w:rsidR="008D2698" w:rsidRPr="0017208F">
        <w:t>, the Company's Chief Financial Officer; and Roger M. Barzun, the Company's General Counsel</w:t>
      </w:r>
      <w:r w:rsidR="00164C8F">
        <w:t>,</w:t>
      </w:r>
      <w:r w:rsidR="008D2698" w:rsidRPr="0017208F">
        <w:t xml:space="preserve"> as your proxy to vote your shares </w:t>
      </w:r>
      <w:r w:rsidR="00E93938">
        <w:t xml:space="preserve">in </w:t>
      </w:r>
      <w:r w:rsidR="008D2698" w:rsidRPr="0017208F">
        <w:t xml:space="preserve">the way you direct, both at the Annual Meeting and at any adjournment of the meeting.  </w:t>
      </w:r>
      <w:r>
        <w:t>Stockholders have the option to vote by proxy in three ways</w:t>
      </w:r>
      <w:r w:rsidR="00007C41">
        <w:t>, all of them described in the Availability Notice</w:t>
      </w:r>
      <w:r>
        <w:t xml:space="preserve">: </w:t>
      </w:r>
    </w:p>
    <w:p w:rsidR="00AC3A16" w:rsidRPr="007E0B20" w:rsidRDefault="00AC3A16" w:rsidP="003359BC">
      <w:pPr>
        <w:pStyle w:val="ListParagraph"/>
        <w:widowControl/>
        <w:numPr>
          <w:ilvl w:val="0"/>
          <w:numId w:val="4"/>
        </w:numPr>
        <w:tabs>
          <w:tab w:val="left" w:pos="720"/>
        </w:tabs>
        <w:spacing w:after="60"/>
        <w:contextualSpacing w:val="0"/>
        <w:jc w:val="left"/>
      </w:pPr>
      <w:r w:rsidRPr="00633991">
        <w:rPr>
          <w:i/>
        </w:rPr>
        <w:t>Via the Internet:</w:t>
      </w:r>
      <w:r>
        <w:t xml:space="preserve">  You may vote via the Internet by following the instructions in the Availability Notice.  </w:t>
      </w:r>
    </w:p>
    <w:p w:rsidR="00AC3A16" w:rsidRDefault="00AC3A16" w:rsidP="003359BC">
      <w:pPr>
        <w:pStyle w:val="ListParagraph"/>
        <w:widowControl/>
        <w:numPr>
          <w:ilvl w:val="0"/>
          <w:numId w:val="4"/>
        </w:numPr>
        <w:tabs>
          <w:tab w:val="left" w:pos="720"/>
        </w:tabs>
        <w:spacing w:after="60"/>
        <w:contextualSpacing w:val="0"/>
        <w:jc w:val="left"/>
      </w:pPr>
      <w:r w:rsidRPr="007E0B20">
        <w:rPr>
          <w:i/>
        </w:rPr>
        <w:t xml:space="preserve">By </w:t>
      </w:r>
      <w:r w:rsidR="00633991" w:rsidRPr="007E0B20">
        <w:rPr>
          <w:i/>
        </w:rPr>
        <w:t>Telephone</w:t>
      </w:r>
      <w:r w:rsidRPr="007E0B20">
        <w:t>:  You may vote by telephone by calling toll-free 1-800-PROXIES (1-800-776-9437) in the United States, or 1-718-921-8500 from a foreign country using a touch-tone telephone</w:t>
      </w:r>
      <w:r w:rsidR="00633991" w:rsidRPr="007E0B20">
        <w:t>,</w:t>
      </w:r>
      <w:r w:rsidRPr="007E0B20">
        <w:t xml:space="preserve"> and by following the instructions given to you.  You</w:t>
      </w:r>
      <w:r>
        <w:t xml:space="preserve"> should have your proxy card with you when you make the call so that you can </w:t>
      </w:r>
      <w:r w:rsidR="00064343">
        <w:t>provide</w:t>
      </w:r>
      <w:r>
        <w:t xml:space="preserve"> the numbers found on your proxy card when asked to do so.  </w:t>
      </w:r>
    </w:p>
    <w:p w:rsidR="00AC3A16" w:rsidRDefault="00AC3A16" w:rsidP="00D80B56">
      <w:pPr>
        <w:pStyle w:val="ListParagraph"/>
        <w:widowControl/>
        <w:numPr>
          <w:ilvl w:val="0"/>
          <w:numId w:val="4"/>
        </w:numPr>
        <w:tabs>
          <w:tab w:val="left" w:pos="720"/>
        </w:tabs>
        <w:contextualSpacing w:val="0"/>
        <w:jc w:val="left"/>
      </w:pPr>
      <w:r w:rsidRPr="00633991">
        <w:rPr>
          <w:i/>
        </w:rPr>
        <w:t xml:space="preserve">By </w:t>
      </w:r>
      <w:r w:rsidR="00633991" w:rsidRPr="00633991">
        <w:rPr>
          <w:i/>
        </w:rPr>
        <w:t>Mail</w:t>
      </w:r>
      <w:r>
        <w:t>: You may vote by mail by obtaining a printed copy of the proxy card in the manner described in the Availability Notice</w:t>
      </w:r>
      <w:r w:rsidR="00633991">
        <w:t xml:space="preserve">.  You </w:t>
      </w:r>
      <w:r w:rsidR="008701EE">
        <w:t>may</w:t>
      </w:r>
      <w:r w:rsidR="00633991">
        <w:t xml:space="preserve"> then </w:t>
      </w:r>
      <w:r>
        <w:t>complet</w:t>
      </w:r>
      <w:r w:rsidR="00633991">
        <w:t>e</w:t>
      </w:r>
      <w:r>
        <w:t>, sign</w:t>
      </w:r>
      <w:r w:rsidR="00633991">
        <w:t>, and date</w:t>
      </w:r>
      <w:r>
        <w:t xml:space="preserve"> the proxy card and mail it to the Company</w:t>
      </w:r>
      <w:r w:rsidR="00633991">
        <w:t xml:space="preserve"> in the envelope that will </w:t>
      </w:r>
      <w:r w:rsidR="001E581C">
        <w:t xml:space="preserve">have been </w:t>
      </w:r>
      <w:r w:rsidR="00633991">
        <w:t>provided to you</w:t>
      </w:r>
      <w:r w:rsidR="00985A2E">
        <w:t xml:space="preserve"> with the proxy card</w:t>
      </w:r>
      <w:r>
        <w:t xml:space="preserve">.  </w:t>
      </w:r>
    </w:p>
    <w:p w:rsidR="00AC3532" w:rsidRDefault="00AC3532" w:rsidP="00D80B56">
      <w:pPr>
        <w:widowControl/>
        <w:tabs>
          <w:tab w:val="left" w:pos="1080"/>
        </w:tabs>
        <w:spacing w:after="60"/>
        <w:jc w:val="left"/>
      </w:pPr>
      <w:r>
        <w:t xml:space="preserve">If your shares are held </w:t>
      </w:r>
      <w:r w:rsidR="005B61F5">
        <w:t xml:space="preserve">in the name of </w:t>
      </w:r>
      <w:r>
        <w:t xml:space="preserve">a bank, a broker or by another nominee holder of record, please refer to </w:t>
      </w:r>
      <w:r w:rsidR="00B44696">
        <w:t xml:space="preserve">the </w:t>
      </w:r>
      <w:r>
        <w:t xml:space="preserve">information provided to you </w:t>
      </w:r>
      <w:r w:rsidR="00B44696">
        <w:t>by the nominee about</w:t>
      </w:r>
      <w:r>
        <w:t xml:space="preserve"> your voting options.  </w:t>
      </w:r>
    </w:p>
    <w:p w:rsidR="00AC3532" w:rsidRDefault="00AC3532" w:rsidP="00D80B56">
      <w:pPr>
        <w:widowControl/>
        <w:tabs>
          <w:tab w:val="left" w:pos="1080"/>
        </w:tabs>
        <w:spacing w:after="60"/>
        <w:jc w:val="left"/>
      </w:pPr>
      <w:r>
        <w:t xml:space="preserve">If you vote by proxy, your shares will be voted as you direct if </w:t>
      </w:r>
      <w:r w:rsidR="0054507C">
        <w:t>—</w:t>
      </w:r>
    </w:p>
    <w:p w:rsidR="00AC3532" w:rsidRDefault="00AC3532" w:rsidP="00D80B56">
      <w:pPr>
        <w:pStyle w:val="ListParagraph"/>
        <w:widowControl/>
        <w:numPr>
          <w:ilvl w:val="0"/>
          <w:numId w:val="5"/>
        </w:numPr>
        <w:tabs>
          <w:tab w:val="left" w:pos="720"/>
        </w:tabs>
        <w:spacing w:after="60"/>
        <w:contextualSpacing w:val="0"/>
        <w:jc w:val="left"/>
      </w:pPr>
      <w:r>
        <w:t xml:space="preserve">Your proxy is properly completed; </w:t>
      </w:r>
    </w:p>
    <w:p w:rsidR="00AC3532" w:rsidRDefault="00AC3532" w:rsidP="00D80B56">
      <w:pPr>
        <w:pStyle w:val="ListParagraph"/>
        <w:widowControl/>
        <w:numPr>
          <w:ilvl w:val="0"/>
          <w:numId w:val="5"/>
        </w:numPr>
        <w:tabs>
          <w:tab w:val="left" w:pos="720"/>
        </w:tabs>
        <w:spacing w:after="60"/>
        <w:contextualSpacing w:val="0"/>
        <w:jc w:val="left"/>
      </w:pPr>
      <w:r>
        <w:t xml:space="preserve">Your proxy is received before the Annual Meeting; and </w:t>
      </w:r>
    </w:p>
    <w:p w:rsidR="00AC3532" w:rsidRDefault="00AC3532" w:rsidP="00D1137F">
      <w:pPr>
        <w:pStyle w:val="ListParagraph"/>
        <w:widowControl/>
        <w:numPr>
          <w:ilvl w:val="0"/>
          <w:numId w:val="5"/>
        </w:numPr>
        <w:tabs>
          <w:tab w:val="left" w:pos="720"/>
        </w:tabs>
        <w:contextualSpacing w:val="0"/>
        <w:jc w:val="left"/>
      </w:pPr>
      <w:r>
        <w:t xml:space="preserve">Your proxy is not revoked by you before the voting.  </w:t>
      </w:r>
    </w:p>
    <w:p w:rsidR="00AC3532" w:rsidRDefault="00AC3532" w:rsidP="00E573EC">
      <w:pPr>
        <w:widowControl/>
        <w:tabs>
          <w:tab w:val="left" w:pos="1080"/>
        </w:tabs>
        <w:spacing w:after="60"/>
        <w:jc w:val="left"/>
      </w:pPr>
      <w:r>
        <w:t>If you do not specify on your proxy how you want your shares voted, they will be voted in the following way</w:t>
      </w:r>
      <w:r w:rsidR="00EB7844">
        <w:t>s</w:t>
      </w:r>
      <w:r>
        <w:t>:</w:t>
      </w:r>
    </w:p>
    <w:p w:rsidR="00AC3532" w:rsidRDefault="00AC3532" w:rsidP="00B46FFE">
      <w:pPr>
        <w:widowControl/>
        <w:tabs>
          <w:tab w:val="left" w:pos="900"/>
        </w:tabs>
        <w:spacing w:after="60"/>
        <w:ind w:left="900" w:hanging="540"/>
        <w:jc w:val="left"/>
      </w:pPr>
      <w:r w:rsidRPr="00AC3532">
        <w:rPr>
          <w:i/>
        </w:rPr>
        <w:t>FOR</w:t>
      </w:r>
      <w:r>
        <w:tab/>
        <w:t xml:space="preserve">the election of </w:t>
      </w:r>
      <w:r w:rsidR="00E573EC">
        <w:t xml:space="preserve">the </w:t>
      </w:r>
      <w:r w:rsidR="00C65E3D">
        <w:t>five</w:t>
      </w:r>
      <w:r>
        <w:t xml:space="preserve"> nominee</w:t>
      </w:r>
      <w:r w:rsidR="001D6F2A">
        <w:t>s for a term of one year</w:t>
      </w:r>
      <w:r>
        <w:t xml:space="preserve"> (Proposal 1).</w:t>
      </w:r>
    </w:p>
    <w:p w:rsidR="00AC3532" w:rsidRDefault="00AC3532" w:rsidP="00B46FFE">
      <w:pPr>
        <w:widowControl/>
        <w:tabs>
          <w:tab w:val="left" w:pos="900"/>
        </w:tabs>
        <w:spacing w:after="60"/>
        <w:ind w:left="900" w:hanging="540"/>
        <w:jc w:val="left"/>
      </w:pPr>
      <w:r w:rsidRPr="00AC3532">
        <w:rPr>
          <w:i/>
        </w:rPr>
        <w:t>FOR</w:t>
      </w:r>
      <w:r>
        <w:tab/>
        <w:t>the ratification of the selection of Grant Thornton LLP as the Company's independent registered public accounting firm for 201</w:t>
      </w:r>
      <w:r w:rsidR="00C65E3D">
        <w:t>6</w:t>
      </w:r>
      <w:r w:rsidR="00B91E2B">
        <w:t xml:space="preserve"> (Proposal </w:t>
      </w:r>
      <w:r w:rsidR="00C65E3D">
        <w:t>2</w:t>
      </w:r>
      <w:r>
        <w:t xml:space="preserve">).  </w:t>
      </w:r>
    </w:p>
    <w:p w:rsidR="00AC3532" w:rsidRDefault="00AC3532" w:rsidP="00B46FFE">
      <w:pPr>
        <w:widowControl/>
        <w:tabs>
          <w:tab w:val="left" w:pos="900"/>
        </w:tabs>
        <w:ind w:left="900" w:hanging="540"/>
        <w:jc w:val="left"/>
      </w:pPr>
      <w:r w:rsidRPr="00AC3532">
        <w:rPr>
          <w:i/>
        </w:rPr>
        <w:t>FOR</w:t>
      </w:r>
      <w:r>
        <w:tab/>
        <w:t xml:space="preserve">the approval of the compensation of the Company's named executive officers as set forth in </w:t>
      </w:r>
      <w:r w:rsidR="00B91E2B">
        <w:t xml:space="preserve">this Proxy Statement (Proposal </w:t>
      </w:r>
      <w:r w:rsidR="00C65E3D">
        <w:t>3</w:t>
      </w:r>
      <w:r>
        <w:t>) (an advisory vote).</w:t>
      </w:r>
    </w:p>
    <w:p w:rsidR="0017208F" w:rsidRDefault="00AC3532" w:rsidP="00075F08">
      <w:pPr>
        <w:widowControl/>
        <w:tabs>
          <w:tab w:val="left" w:pos="1080"/>
        </w:tabs>
        <w:jc w:val="left"/>
      </w:pPr>
      <w:r>
        <w:t xml:space="preserve">The Board does not know of any other proposal that will be presented for consideration at the Annual Meeting.  </w:t>
      </w:r>
    </w:p>
    <w:p w:rsidR="00847922" w:rsidRDefault="00847922" w:rsidP="00075F08">
      <w:pPr>
        <w:widowControl/>
        <w:tabs>
          <w:tab w:val="left" w:pos="1080"/>
        </w:tabs>
        <w:spacing w:after="60"/>
        <w:jc w:val="left"/>
      </w:pPr>
      <w:bookmarkStart w:id="20" w:name="_Toc381354098"/>
      <w:bookmarkStart w:id="21" w:name="_Toc445739547"/>
      <w:r w:rsidRPr="005250B8">
        <w:rPr>
          <w:rStyle w:val="002ProxyChar"/>
        </w:rPr>
        <w:t>Revocation of a Proxy</w:t>
      </w:r>
      <w:bookmarkEnd w:id="20"/>
      <w:bookmarkEnd w:id="21"/>
      <w:r>
        <w:t xml:space="preserve">.  You may revoke a proxy you have already given in any one of the following three ways:  </w:t>
      </w:r>
    </w:p>
    <w:p w:rsidR="00847922" w:rsidRDefault="00847922" w:rsidP="00D1137F">
      <w:pPr>
        <w:pStyle w:val="ListParagraph"/>
        <w:widowControl/>
        <w:numPr>
          <w:ilvl w:val="0"/>
          <w:numId w:val="6"/>
        </w:numPr>
        <w:tabs>
          <w:tab w:val="left" w:pos="720"/>
        </w:tabs>
        <w:spacing w:after="60"/>
        <w:contextualSpacing w:val="0"/>
        <w:jc w:val="left"/>
      </w:pPr>
      <w:r>
        <w:t xml:space="preserve">By sending to the Secretary of the Company, at the Company's address set forth above, a written statement that you wish to revoke your proxy; </w:t>
      </w:r>
    </w:p>
    <w:p w:rsidR="00847922" w:rsidRDefault="00847922" w:rsidP="00D1137F">
      <w:pPr>
        <w:pStyle w:val="ListParagraph"/>
        <w:widowControl/>
        <w:numPr>
          <w:ilvl w:val="0"/>
          <w:numId w:val="6"/>
        </w:numPr>
        <w:tabs>
          <w:tab w:val="left" w:pos="720"/>
        </w:tabs>
        <w:spacing w:after="60"/>
        <w:contextualSpacing w:val="0"/>
        <w:jc w:val="left"/>
      </w:pPr>
      <w:r>
        <w:t xml:space="preserve">By submitting another proxy dated later than a previous proxy; or </w:t>
      </w:r>
    </w:p>
    <w:p w:rsidR="00847922" w:rsidRDefault="00847922" w:rsidP="00D1137F">
      <w:pPr>
        <w:pStyle w:val="ListParagraph"/>
        <w:widowControl/>
        <w:numPr>
          <w:ilvl w:val="0"/>
          <w:numId w:val="6"/>
        </w:numPr>
        <w:tabs>
          <w:tab w:val="left" w:pos="720"/>
        </w:tabs>
        <w:contextualSpacing w:val="0"/>
        <w:jc w:val="left"/>
      </w:pPr>
      <w:r>
        <w:t>By attending the Annual Meeting in p</w:t>
      </w:r>
      <w:r w:rsidR="001C3C51">
        <w:t>erson and notifying the chair</w:t>
      </w:r>
      <w:r>
        <w:t xml:space="preserve"> of the meeting that you wish to vote in person.</w:t>
      </w:r>
    </w:p>
    <w:p w:rsidR="00AC3532" w:rsidRDefault="009E25F3" w:rsidP="00136567">
      <w:pPr>
        <w:pStyle w:val="002Proxy"/>
        <w:keepNext/>
      </w:pPr>
      <w:bookmarkStart w:id="22" w:name="_Toc381354099"/>
      <w:bookmarkStart w:id="23" w:name="_Toc445739548"/>
      <w:r w:rsidRPr="009E25F3">
        <w:lastRenderedPageBreak/>
        <w:t xml:space="preserve">Quorum, Vote Required </w:t>
      </w:r>
      <w:r w:rsidR="00C526F6">
        <w:t>&amp;</w:t>
      </w:r>
      <w:r w:rsidRPr="009E25F3">
        <w:t xml:space="preserve"> Method of Counting</w:t>
      </w:r>
      <w:bookmarkEnd w:id="22"/>
      <w:bookmarkEnd w:id="23"/>
    </w:p>
    <w:p w:rsidR="00567706" w:rsidRDefault="009D1C4B" w:rsidP="00136567">
      <w:pPr>
        <w:keepNext/>
        <w:widowControl/>
        <w:tabs>
          <w:tab w:val="left" w:pos="1080"/>
        </w:tabs>
        <w:jc w:val="left"/>
      </w:pPr>
      <w:bookmarkStart w:id="24" w:name="_Toc381354100"/>
      <w:r w:rsidRPr="00754D98">
        <w:rPr>
          <w:b/>
          <w:i/>
        </w:rPr>
        <w:t>The Quorum for the Meeting</w:t>
      </w:r>
      <w:bookmarkEnd w:id="24"/>
      <w:r w:rsidRPr="009D1C4B">
        <w:t xml:space="preserve">.  A quorum must be present in order to hold the Annual Meeting.  </w:t>
      </w:r>
      <w:r w:rsidR="00E71829">
        <w:t xml:space="preserve">A quorum consists of </w:t>
      </w:r>
      <w:r w:rsidR="00A216E8" w:rsidRPr="00A216E8">
        <w:t xml:space="preserve">the holders of a majority of </w:t>
      </w:r>
      <w:r w:rsidR="00A216E8">
        <w:t xml:space="preserve">the </w:t>
      </w:r>
      <w:r w:rsidR="00A216E8" w:rsidRPr="00A216E8">
        <w:t xml:space="preserve">shares of </w:t>
      </w:r>
      <w:r w:rsidR="00A216E8">
        <w:t xml:space="preserve">outstanding </w:t>
      </w:r>
      <w:r w:rsidR="00A216E8" w:rsidRPr="00A216E8">
        <w:t xml:space="preserve">common stock </w:t>
      </w:r>
      <w:r w:rsidR="00A216E8">
        <w:t xml:space="preserve">who are </w:t>
      </w:r>
      <w:r w:rsidR="00C65E3D">
        <w:t>present</w:t>
      </w:r>
      <w:r w:rsidR="00A216E8" w:rsidRPr="00A216E8">
        <w:t xml:space="preserve"> </w:t>
      </w:r>
      <w:r w:rsidR="00A216E8">
        <w:t xml:space="preserve">in person or </w:t>
      </w:r>
      <w:r w:rsidR="00C65E3D">
        <w:t xml:space="preserve">represented </w:t>
      </w:r>
      <w:r w:rsidR="00A216E8">
        <w:t xml:space="preserve">by proxy at the meeting </w:t>
      </w:r>
      <w:r w:rsidR="00A216E8" w:rsidRPr="00A216E8">
        <w:t>and entitled to vote</w:t>
      </w:r>
      <w:r w:rsidR="00BF1B2E" w:rsidRPr="00BF1B2E">
        <w:t xml:space="preserve">.  </w:t>
      </w:r>
      <w:r w:rsidR="00567706">
        <w:t>Each share of common stock entitles the record holder to one vote on each of the matters to be voted on at the Annual Meeting</w:t>
      </w:r>
      <w:r w:rsidR="00AB3BA6">
        <w:t xml:space="preserve">. </w:t>
      </w:r>
      <w:r w:rsidR="003E1B57">
        <w:t xml:space="preserve"> </w:t>
      </w:r>
      <w:r w:rsidR="00AB3BA6">
        <w:t>S</w:t>
      </w:r>
      <w:r w:rsidR="003E1B57">
        <w:t>hares held in "street" name</w:t>
      </w:r>
      <w:r w:rsidR="00C65E3D">
        <w:t>,</w:t>
      </w:r>
      <w:r w:rsidR="003E1B57">
        <w:t xml:space="preserve"> </w:t>
      </w:r>
      <w:r w:rsidR="00C65E3D">
        <w:t xml:space="preserve">meaning held </w:t>
      </w:r>
      <w:r w:rsidR="003E1B57">
        <w:t xml:space="preserve">by </w:t>
      </w:r>
      <w:r w:rsidR="001F71F5">
        <w:t>a bank, broker or other nominee</w:t>
      </w:r>
      <w:r w:rsidR="003E1B57">
        <w:t xml:space="preserve"> who indicate on their proxies that</w:t>
      </w:r>
      <w:r w:rsidR="00477CAD">
        <w:t>,</w:t>
      </w:r>
      <w:r w:rsidR="003E1B57">
        <w:t xml:space="preserve"> </w:t>
      </w:r>
      <w:r w:rsidR="00477CAD">
        <w:t xml:space="preserve">because </w:t>
      </w:r>
      <w:r w:rsidR="003E1B57">
        <w:t xml:space="preserve">they </w:t>
      </w:r>
      <w:r w:rsidR="00AB3BA6">
        <w:t>have not received directions on how to vote the shares</w:t>
      </w:r>
      <w:r w:rsidR="00477CAD">
        <w:t>,</w:t>
      </w:r>
      <w:r w:rsidR="00AB3BA6">
        <w:t xml:space="preserve"> </w:t>
      </w:r>
      <w:r w:rsidR="00477CAD">
        <w:t xml:space="preserve">they </w:t>
      </w:r>
      <w:r w:rsidR="003E1B57">
        <w:t>do not have the discretionary authority to vote the shares</w:t>
      </w:r>
      <w:r w:rsidR="00044D50">
        <w:t xml:space="preserve"> on a particular proposal</w:t>
      </w:r>
      <w:r w:rsidR="00802A81">
        <w:t>,</w:t>
      </w:r>
      <w:r w:rsidR="00AB3BA6">
        <w:t xml:space="preserve"> </w:t>
      </w:r>
      <w:r w:rsidR="003E1B57">
        <w:t>are known as broker non-votes</w:t>
      </w:r>
      <w:r w:rsidR="00567706">
        <w:t xml:space="preserve">.  </w:t>
      </w:r>
    </w:p>
    <w:p w:rsidR="003E1B57" w:rsidRPr="003E1B57" w:rsidRDefault="003E1B57" w:rsidP="003359BC">
      <w:pPr>
        <w:keepNext/>
        <w:widowControl/>
        <w:tabs>
          <w:tab w:val="left" w:pos="1080"/>
        </w:tabs>
        <w:spacing w:after="40"/>
        <w:jc w:val="left"/>
        <w:rPr>
          <w:b/>
          <w:i/>
        </w:rPr>
      </w:pPr>
      <w:r w:rsidRPr="003E1B57">
        <w:rPr>
          <w:b/>
          <w:i/>
        </w:rPr>
        <w:t xml:space="preserve">Vote Required </w:t>
      </w:r>
      <w:r>
        <w:rPr>
          <w:b/>
          <w:i/>
        </w:rPr>
        <w:t>&amp;</w:t>
      </w:r>
      <w:r w:rsidRPr="003E1B57">
        <w:rPr>
          <w:b/>
          <w:i/>
        </w:rPr>
        <w:t xml:space="preserve"> Method of Counting</w:t>
      </w:r>
      <w:r w:rsidRPr="003E1B57">
        <w:rPr>
          <w:b/>
        </w:rPr>
        <w:t xml:space="preserve">.  </w:t>
      </w:r>
    </w:p>
    <w:p w:rsidR="00567706" w:rsidRDefault="00567706" w:rsidP="003359BC">
      <w:pPr>
        <w:keepNext/>
        <w:widowControl/>
        <w:tabs>
          <w:tab w:val="left" w:pos="1620"/>
        </w:tabs>
        <w:spacing w:after="60"/>
        <w:ind w:left="1627" w:hanging="1267"/>
        <w:jc w:val="left"/>
      </w:pPr>
      <w:r>
        <w:t>Proposal 1.</w:t>
      </w:r>
      <w:r>
        <w:tab/>
        <w:t>T</w:t>
      </w:r>
      <w:r w:rsidR="002F42C0">
        <w:t>o be elected</w:t>
      </w:r>
      <w:r>
        <w:t xml:space="preserve"> a </w:t>
      </w:r>
      <w:r w:rsidR="002F42C0">
        <w:t xml:space="preserve">director, a nominee must receive </w:t>
      </w:r>
      <w:r>
        <w:t xml:space="preserve">more votes for his </w:t>
      </w:r>
      <w:r w:rsidR="002F42C0">
        <w:t xml:space="preserve">or her </w:t>
      </w:r>
      <w:r>
        <w:t>election than against</w:t>
      </w:r>
      <w:r w:rsidR="00044D50">
        <w:t xml:space="preserve"> it</w:t>
      </w:r>
      <w:r>
        <w:t xml:space="preserve">.  </w:t>
      </w:r>
      <w:r w:rsidR="003E1B57">
        <w:t xml:space="preserve">Because the </w:t>
      </w:r>
      <w:r w:rsidR="003E1B57" w:rsidRPr="003E1B57">
        <w:t>election of a nominee does not require a minimum number of votes</w:t>
      </w:r>
      <w:r w:rsidR="003E1B57">
        <w:t xml:space="preserve">, </w:t>
      </w:r>
      <w:r w:rsidR="003E1B57" w:rsidRPr="003E1B57">
        <w:t xml:space="preserve">abstentions </w:t>
      </w:r>
      <w:r w:rsidR="003E1B57">
        <w:t xml:space="preserve">and broker non-votes </w:t>
      </w:r>
      <w:r w:rsidR="003E1B57" w:rsidRPr="003E1B57">
        <w:t>will have no effect on the voting for the election of directors.</w:t>
      </w:r>
      <w:r w:rsidR="00C65E3D">
        <w:t xml:space="preserve">  </w:t>
      </w:r>
    </w:p>
    <w:p w:rsidR="00686FCF" w:rsidRDefault="00567706" w:rsidP="003359BC">
      <w:pPr>
        <w:widowControl/>
        <w:tabs>
          <w:tab w:val="left" w:pos="1620"/>
        </w:tabs>
        <w:spacing w:after="60"/>
        <w:ind w:left="1627" w:hanging="1267"/>
        <w:jc w:val="left"/>
      </w:pPr>
      <w:r>
        <w:t xml:space="preserve">Proposal </w:t>
      </w:r>
      <w:r w:rsidR="00C65E3D">
        <w:t>2</w:t>
      </w:r>
      <w:r>
        <w:t>.</w:t>
      </w:r>
      <w:r>
        <w:tab/>
        <w:t>The ratification of the selection of Grant Thornton LLP as the Company's independent registered</w:t>
      </w:r>
      <w:r w:rsidR="00C65E3D">
        <w:t xml:space="preserve"> public accounting firm for 2016</w:t>
      </w:r>
      <w:r>
        <w:t xml:space="preserve"> requires the affirmative vote </w:t>
      </w:r>
      <w:r w:rsidR="000D3F92">
        <w:t>of</w:t>
      </w:r>
      <w:r w:rsidR="003E1B57">
        <w:t xml:space="preserve"> the holders of </w:t>
      </w:r>
      <w:r w:rsidR="00E71829">
        <w:t xml:space="preserve">a majority of the </w:t>
      </w:r>
      <w:r w:rsidR="003E1B57">
        <w:t>shares</w:t>
      </w:r>
      <w:r w:rsidR="00366577">
        <w:t xml:space="preserve"> of common stock who are</w:t>
      </w:r>
      <w:r w:rsidR="003E1B57">
        <w:t xml:space="preserve"> </w:t>
      </w:r>
      <w:r w:rsidR="00686FCF">
        <w:t xml:space="preserve">present in person or represented by proxy </w:t>
      </w:r>
      <w:r w:rsidR="001F301B">
        <w:t xml:space="preserve">at the Annual Meeting </w:t>
      </w:r>
      <w:r w:rsidR="00686FCF">
        <w:t xml:space="preserve">and </w:t>
      </w:r>
      <w:r w:rsidR="001F301B">
        <w:t xml:space="preserve">who are </w:t>
      </w:r>
      <w:r w:rsidR="00686FCF">
        <w:t>entitled to vote</w:t>
      </w:r>
      <w:r w:rsidR="00366577">
        <w:t xml:space="preserve"> </w:t>
      </w:r>
      <w:r w:rsidR="007558F9">
        <w:t>on that proposal</w:t>
      </w:r>
      <w:r w:rsidR="00686FCF">
        <w:t xml:space="preserve">.  </w:t>
      </w:r>
      <w:r w:rsidR="00CC51E3">
        <w:t>A</w:t>
      </w:r>
      <w:r w:rsidR="00686FCF" w:rsidRPr="00686FCF">
        <w:t>bstentions will have the effec</w:t>
      </w:r>
      <w:r w:rsidR="00686FCF">
        <w:t>t of votes against the proposal</w:t>
      </w:r>
      <w:r w:rsidR="00686FCF" w:rsidRPr="00686FCF">
        <w:t xml:space="preserve">, but broker non-votes will not be counted as </w:t>
      </w:r>
      <w:r w:rsidR="00686FCF">
        <w:t>they are not</w:t>
      </w:r>
      <w:r w:rsidR="001D151A">
        <w:t>, by definition,</w:t>
      </w:r>
      <w:r w:rsidR="00686FCF">
        <w:t xml:space="preserve"> entitled to vote</w:t>
      </w:r>
      <w:r w:rsidR="00686FCF" w:rsidRPr="00686FCF">
        <w:t>.</w:t>
      </w:r>
    </w:p>
    <w:p w:rsidR="00567706" w:rsidRDefault="00567706" w:rsidP="003359BC">
      <w:pPr>
        <w:widowControl/>
        <w:spacing w:after="60"/>
        <w:ind w:left="1620"/>
        <w:jc w:val="left"/>
      </w:pPr>
      <w:r>
        <w:t xml:space="preserve">See </w:t>
      </w:r>
      <w:r w:rsidR="00C4029D">
        <w:t xml:space="preserve">also </w:t>
      </w:r>
      <w:r>
        <w:t xml:space="preserve">the information below under the heading </w:t>
      </w:r>
      <w:r w:rsidRPr="00567706">
        <w:rPr>
          <w:i/>
        </w:rPr>
        <w:t xml:space="preserve">Ratification of the Selection of </w:t>
      </w:r>
      <w:r w:rsidR="00C25C54">
        <w:rPr>
          <w:i/>
        </w:rPr>
        <w:t xml:space="preserve">the </w:t>
      </w:r>
      <w:r w:rsidRPr="00567706">
        <w:rPr>
          <w:i/>
        </w:rPr>
        <w:t>Independent Registered Public Accounting Firm</w:t>
      </w:r>
      <w:r>
        <w:rPr>
          <w:i/>
        </w:rPr>
        <w:t xml:space="preserve"> (Proposal </w:t>
      </w:r>
      <w:r w:rsidR="00B91E2B">
        <w:rPr>
          <w:i/>
        </w:rPr>
        <w:t>2</w:t>
      </w:r>
      <w:r>
        <w:rPr>
          <w:i/>
        </w:rPr>
        <w:t>)</w:t>
      </w:r>
      <w:r>
        <w:t xml:space="preserve"> for the effect of your vote</w:t>
      </w:r>
      <w:r w:rsidR="00B44696">
        <w:t xml:space="preserve"> on this proposal</w:t>
      </w:r>
      <w:r>
        <w:t xml:space="preserve">.  </w:t>
      </w:r>
    </w:p>
    <w:p w:rsidR="009D1C4B" w:rsidRDefault="008552D1" w:rsidP="00136567">
      <w:pPr>
        <w:widowControl/>
        <w:tabs>
          <w:tab w:val="left" w:pos="1620"/>
        </w:tabs>
        <w:ind w:left="1620" w:hanging="1260"/>
        <w:jc w:val="left"/>
      </w:pPr>
      <w:r>
        <w:t xml:space="preserve">Proposal </w:t>
      </w:r>
      <w:r w:rsidR="00A9487E">
        <w:t>3</w:t>
      </w:r>
      <w:r w:rsidR="00567706">
        <w:t>.</w:t>
      </w:r>
      <w:r w:rsidR="00567706">
        <w:tab/>
        <w:t xml:space="preserve">The advisory vote to approve the compensation of </w:t>
      </w:r>
      <w:r w:rsidR="00B46FFE">
        <w:t xml:space="preserve">the </w:t>
      </w:r>
      <w:r w:rsidR="00567706">
        <w:t xml:space="preserve">named executive officers also </w:t>
      </w:r>
      <w:r w:rsidR="004B354F">
        <w:t xml:space="preserve">requires the affirmative vote of the holders of a majority of the shares of common stock who are present in person or represented by proxy </w:t>
      </w:r>
      <w:r w:rsidR="001F301B">
        <w:t xml:space="preserve">at the Annual Meeting </w:t>
      </w:r>
      <w:r w:rsidR="004B354F">
        <w:t xml:space="preserve">and </w:t>
      </w:r>
      <w:r w:rsidR="001F301B">
        <w:t xml:space="preserve">who are </w:t>
      </w:r>
      <w:r w:rsidR="004B354F">
        <w:t>entitled to vote</w:t>
      </w:r>
      <w:r w:rsidR="00FE05E1">
        <w:t xml:space="preserve"> </w:t>
      </w:r>
      <w:r w:rsidR="00FE05E1" w:rsidRPr="00FE05E1">
        <w:t>on that proposal</w:t>
      </w:r>
      <w:r w:rsidR="004B354F">
        <w:t xml:space="preserve">.  </w:t>
      </w:r>
      <w:r w:rsidR="00CC51E3">
        <w:t>A</w:t>
      </w:r>
      <w:r w:rsidR="004B354F" w:rsidRPr="00686FCF">
        <w:t>bstentions will have the effec</w:t>
      </w:r>
      <w:r w:rsidR="004B354F">
        <w:t>t of votes against the proposal</w:t>
      </w:r>
      <w:r w:rsidR="004B354F" w:rsidRPr="00686FCF">
        <w:t>, but broker non-votes will not be counted as</w:t>
      </w:r>
      <w:r w:rsidR="00CC51E3">
        <w:t>, by definition,</w:t>
      </w:r>
      <w:r w:rsidR="004B354F" w:rsidRPr="00686FCF">
        <w:t xml:space="preserve"> </w:t>
      </w:r>
      <w:r w:rsidR="004B354F">
        <w:t>they are not entitled to vote</w:t>
      </w:r>
      <w:r w:rsidR="004B354F" w:rsidRPr="00686FCF">
        <w:t>.</w:t>
      </w:r>
      <w:r w:rsidR="00686FCF">
        <w:t xml:space="preserve"> </w:t>
      </w:r>
    </w:p>
    <w:p w:rsidR="0058649E" w:rsidRDefault="00502D47" w:rsidP="00136567">
      <w:pPr>
        <w:widowControl/>
        <w:jc w:val="left"/>
      </w:pPr>
      <w:bookmarkStart w:id="25" w:name="_Toc381354103"/>
      <w:bookmarkStart w:id="26" w:name="_Toc445739549"/>
      <w:r w:rsidRPr="006F03B8">
        <w:rPr>
          <w:rStyle w:val="002ProxyChar"/>
        </w:rPr>
        <w:t xml:space="preserve">The Solicitation of Proxies </w:t>
      </w:r>
      <w:r w:rsidR="00C526F6">
        <w:rPr>
          <w:rStyle w:val="002ProxyChar"/>
        </w:rPr>
        <w:t>&amp;</w:t>
      </w:r>
      <w:r w:rsidRPr="006F03B8">
        <w:rPr>
          <w:rStyle w:val="002ProxyChar"/>
        </w:rPr>
        <w:t xml:space="preserve"> Expenses</w:t>
      </w:r>
      <w:bookmarkEnd w:id="25"/>
      <w:bookmarkEnd w:id="26"/>
      <w:r w:rsidRPr="00502D47">
        <w:t>.  In addition to the solicitation of proxies by means of this Proxy Statement, directors, officers and employees of the Company and</w:t>
      </w:r>
      <w:r w:rsidR="007E0B20">
        <w:t xml:space="preserve"> </w:t>
      </w:r>
      <w:r w:rsidR="00A9487E">
        <w:t xml:space="preserve">possibly </w:t>
      </w:r>
      <w:r w:rsidRPr="00502D47">
        <w:t xml:space="preserve">a third-party solicitation agent </w:t>
      </w:r>
      <w:r w:rsidR="008110C7">
        <w:t>may</w:t>
      </w:r>
      <w:r w:rsidR="007E0B20">
        <w:t xml:space="preserve"> </w:t>
      </w:r>
      <w:r w:rsidRPr="00502D47">
        <w:t xml:space="preserve">solicit proxies using personal interviews, telephone calls, facsimile transmissions and e-mails.  </w:t>
      </w:r>
      <w:r w:rsidR="008110C7" w:rsidRPr="008110C7">
        <w:t xml:space="preserve">The cost of </w:t>
      </w:r>
      <w:r w:rsidR="00A9487E">
        <w:t xml:space="preserve">any </w:t>
      </w:r>
      <w:r w:rsidR="008110C7" w:rsidRPr="008110C7">
        <w:t xml:space="preserve">proxy solicitation agent </w:t>
      </w:r>
      <w:r w:rsidR="00A9487E">
        <w:t xml:space="preserve">would </w:t>
      </w:r>
      <w:r w:rsidR="008110C7" w:rsidRPr="008110C7">
        <w:t xml:space="preserve">be borne by the Company.  </w:t>
      </w:r>
      <w:r w:rsidRPr="00502D47">
        <w:t>The Company will request banks, brokerage houses and other custodians, nominees and fiduciaries to solicit votes from their customers who are beneficial owners, but not record holders, of common stock, and to forward or make available proxy solicitation materials to those beneficial owners.  The Company will reimburse them for the reasonable out-of-pocket expenses they incur in doing so</w:t>
      </w:r>
      <w:r w:rsidR="00B91E2B">
        <w:t>,</w:t>
      </w:r>
      <w:r w:rsidRPr="00502D47">
        <w:t xml:space="preserve"> and will pay the expenses of printing and mailing this Proxy Statement, the form of proxy, the Availability Notice, the Company's </w:t>
      </w:r>
      <w:r w:rsidR="001F71F5">
        <w:t xml:space="preserve">2015 </w:t>
      </w:r>
      <w:r w:rsidRPr="00502D47">
        <w:t>Annual Report on Form 10-K</w:t>
      </w:r>
      <w:r w:rsidR="001F71F5">
        <w:t>,</w:t>
      </w:r>
      <w:r w:rsidRPr="00502D47">
        <w:t xml:space="preserve"> and any other solicitation materials.  </w:t>
      </w:r>
    </w:p>
    <w:p w:rsidR="00502D47" w:rsidRDefault="006E2D48" w:rsidP="00472A73">
      <w:pPr>
        <w:widowControl/>
        <w:jc w:val="left"/>
      </w:pPr>
      <w:bookmarkStart w:id="27" w:name="_Toc381354104"/>
      <w:bookmarkStart w:id="28" w:name="_Toc445739550"/>
      <w:r w:rsidRPr="006F03B8">
        <w:rPr>
          <w:rStyle w:val="002ProxyChar"/>
        </w:rPr>
        <w:t>The 201</w:t>
      </w:r>
      <w:r w:rsidR="00A9487E">
        <w:rPr>
          <w:rStyle w:val="002ProxyChar"/>
        </w:rPr>
        <w:t>5</w:t>
      </w:r>
      <w:r w:rsidRPr="006F03B8">
        <w:rPr>
          <w:rStyle w:val="002ProxyChar"/>
        </w:rPr>
        <w:t xml:space="preserve"> Annual Report</w:t>
      </w:r>
      <w:bookmarkEnd w:id="27"/>
      <w:bookmarkEnd w:id="28"/>
      <w:r w:rsidRPr="006E2D48">
        <w:t>.  A copy of the Com</w:t>
      </w:r>
      <w:r w:rsidR="00155C2A">
        <w:t>pany's Annual Report on Form 10-</w:t>
      </w:r>
      <w:r w:rsidRPr="006E2D48">
        <w:t>K for the year ended December 31, 201</w:t>
      </w:r>
      <w:r w:rsidR="00A9487E">
        <w:t>5</w:t>
      </w:r>
      <w:r w:rsidRPr="006E2D48">
        <w:t>, which has been filed with the Securities and Exchange Commission (SEC) contains financial statements and other information of interest to stockholders.  Stockholders may obtain a copy of the 201</w:t>
      </w:r>
      <w:r w:rsidR="00A9487E">
        <w:t>5</w:t>
      </w:r>
      <w:r w:rsidRPr="006E2D48">
        <w:t xml:space="preserve"> Annual Report in the same manner as they may obtain a copy of the other proxy solicitation materials.  </w:t>
      </w:r>
    </w:p>
    <w:p w:rsidR="006E2D48" w:rsidRDefault="006E2D48" w:rsidP="00676626">
      <w:pPr>
        <w:pStyle w:val="001Proxy"/>
        <w:keepNext/>
        <w:pBdr>
          <w:bottom w:val="single" w:sz="12" w:space="1" w:color="auto"/>
        </w:pBdr>
        <w:spacing w:after="240"/>
      </w:pPr>
      <w:bookmarkStart w:id="29" w:name="_Toc381354105"/>
      <w:bookmarkStart w:id="30" w:name="_Toc445739551"/>
      <w:r w:rsidRPr="006F03B8">
        <w:lastRenderedPageBreak/>
        <w:t>ELECTION OF DIRECTORS</w:t>
      </w:r>
      <w:r w:rsidRPr="00D6656B">
        <w:rPr>
          <w:b w:val="0"/>
          <w:i/>
        </w:rPr>
        <w:t xml:space="preserve"> (Proposal 1)</w:t>
      </w:r>
      <w:bookmarkEnd w:id="29"/>
      <w:bookmarkEnd w:id="30"/>
      <w:r w:rsidRPr="00D6656B">
        <w:rPr>
          <w:b w:val="0"/>
          <w:i/>
        </w:rPr>
        <w:t xml:space="preserve"> </w:t>
      </w:r>
      <w:r w:rsidRPr="00D6656B">
        <w:t xml:space="preserve"> </w:t>
      </w:r>
    </w:p>
    <w:p w:rsidR="006E2D48" w:rsidRDefault="000F2611" w:rsidP="00676626">
      <w:pPr>
        <w:keepNext/>
        <w:widowControl/>
        <w:spacing w:before="240"/>
        <w:jc w:val="left"/>
      </w:pPr>
      <w:bookmarkStart w:id="31" w:name="_Toc445739552"/>
      <w:r>
        <w:rPr>
          <w:rStyle w:val="002ProxyChar"/>
        </w:rPr>
        <w:t>Term of Office &amp;</w:t>
      </w:r>
      <w:r w:rsidR="00E03597">
        <w:rPr>
          <w:rStyle w:val="002ProxyChar"/>
        </w:rPr>
        <w:t xml:space="preserve"> Declassification</w:t>
      </w:r>
      <w:r w:rsidR="0079365A">
        <w:rPr>
          <w:rStyle w:val="002ProxyChar"/>
        </w:rPr>
        <w:t xml:space="preserve"> of Directors</w:t>
      </w:r>
      <w:bookmarkEnd w:id="31"/>
      <w:r w:rsidR="006E2D48">
        <w:t xml:space="preserve">.  A director holds office until the expiration of his or her term and until a successor is elected and qualified unless the director dies, resigns or is removed from the Board, </w:t>
      </w:r>
      <w:r w:rsidR="00A75967">
        <w:t xml:space="preserve">in which case, </w:t>
      </w:r>
      <w:r w:rsidR="006E2D48">
        <w:t>the Board has the authority to appoint a replacement</w:t>
      </w:r>
      <w:r w:rsidR="00C00F22">
        <w:t xml:space="preserve"> director</w:t>
      </w:r>
      <w:r w:rsidR="006E2D48">
        <w:t xml:space="preserve">.  </w:t>
      </w:r>
    </w:p>
    <w:p w:rsidR="006E2D48" w:rsidRDefault="007D4DB4" w:rsidP="00136567">
      <w:pPr>
        <w:widowControl/>
        <w:spacing w:after="60"/>
        <w:jc w:val="left"/>
      </w:pPr>
      <w:r>
        <w:t>Starting with the 2015 Annual Meeting of Stockholders, th</w:t>
      </w:r>
      <w:r w:rsidR="006E2D48" w:rsidRPr="006E2D48">
        <w:t xml:space="preserve">e Board </w:t>
      </w:r>
      <w:r>
        <w:t xml:space="preserve">began the </w:t>
      </w:r>
      <w:r w:rsidR="00B91E2B">
        <w:t>process of phasing</w:t>
      </w:r>
      <w:r w:rsidR="006E2D48" w:rsidRPr="006E2D48">
        <w:t xml:space="preserve"> out </w:t>
      </w:r>
      <w:r w:rsidR="0079365A">
        <w:t>the classification of its d</w:t>
      </w:r>
      <w:r w:rsidR="006E2D48" w:rsidRPr="006E2D48">
        <w:t>irectors</w:t>
      </w:r>
      <w:r w:rsidR="0079365A">
        <w:t xml:space="preserve">.  </w:t>
      </w:r>
      <w:r>
        <w:t>Prior to the 2015 Annual Meeting of Stockholders</w:t>
      </w:r>
      <w:r w:rsidR="009770B6">
        <w:t>,</w:t>
      </w:r>
      <w:r w:rsidR="0079365A">
        <w:t xml:space="preserve"> </w:t>
      </w:r>
      <w:r w:rsidR="00B91E2B">
        <w:t xml:space="preserve">directors </w:t>
      </w:r>
      <w:r w:rsidR="0079365A">
        <w:t xml:space="preserve">were divided </w:t>
      </w:r>
      <w:r w:rsidR="00B91E2B">
        <w:t xml:space="preserve">into three classes with </w:t>
      </w:r>
      <w:r w:rsidR="0079365A">
        <w:t xml:space="preserve">three-year </w:t>
      </w:r>
      <w:r w:rsidR="00B91E2B">
        <w:t>term</w:t>
      </w:r>
      <w:r>
        <w:t>s</w:t>
      </w:r>
      <w:r w:rsidR="00B91E2B">
        <w:t xml:space="preserve"> each</w:t>
      </w:r>
      <w:r w:rsidR="00676626">
        <w:t>,</w:t>
      </w:r>
      <w:r w:rsidR="00B91E2B">
        <w:t xml:space="preserve"> </w:t>
      </w:r>
      <w:r>
        <w:t xml:space="preserve">and </w:t>
      </w:r>
      <w:r w:rsidR="00676626">
        <w:t xml:space="preserve">the election </w:t>
      </w:r>
      <w:r>
        <w:t xml:space="preserve">of the classes of directors were </w:t>
      </w:r>
      <w:r w:rsidR="00B91E2B">
        <w:t xml:space="preserve">staggered so that at each Annual Meeting of Stockholders, the terms of </w:t>
      </w:r>
      <w:r>
        <w:t xml:space="preserve">only </w:t>
      </w:r>
      <w:r w:rsidR="00B91E2B">
        <w:t>one class of directors expired</w:t>
      </w:r>
      <w:r w:rsidR="006E2D48" w:rsidRPr="006E2D48">
        <w:t>.</w:t>
      </w:r>
      <w:r w:rsidR="00B91E2B">
        <w:t xml:space="preserve">  At the 2014 Annual Meeting of Stockholders, an amendment of </w:t>
      </w:r>
      <w:r w:rsidR="001B6F60">
        <w:t xml:space="preserve">the Company's Certificate of Incorporation </w:t>
      </w:r>
      <w:r w:rsidR="0079365A">
        <w:t xml:space="preserve">was approved by stockholders </w:t>
      </w:r>
      <w:r w:rsidR="001C566B">
        <w:t xml:space="preserve">with the result </w:t>
      </w:r>
      <w:r w:rsidR="001B6F60">
        <w:t xml:space="preserve">that </w:t>
      </w:r>
      <w:r w:rsidR="0015590F">
        <w:t>—</w:t>
      </w:r>
    </w:p>
    <w:p w:rsidR="0015590F" w:rsidRDefault="0015590F" w:rsidP="00136567">
      <w:pPr>
        <w:pStyle w:val="ListParagraph"/>
        <w:widowControl/>
        <w:numPr>
          <w:ilvl w:val="0"/>
          <w:numId w:val="7"/>
        </w:numPr>
        <w:tabs>
          <w:tab w:val="left" w:pos="720"/>
        </w:tabs>
        <w:spacing w:after="60"/>
        <w:ind w:left="720"/>
        <w:contextualSpacing w:val="0"/>
        <w:jc w:val="left"/>
      </w:pPr>
      <w:r>
        <w:t xml:space="preserve">At the 2015 Annual Meeting of Stockholders, when the three-year terms of the </w:t>
      </w:r>
      <w:r w:rsidR="00FD3863">
        <w:t xml:space="preserve">three </w:t>
      </w:r>
      <w:r>
        <w:t>Class II directors expire</w:t>
      </w:r>
      <w:r w:rsidR="007D4DB4">
        <w:t>d</w:t>
      </w:r>
      <w:r>
        <w:t xml:space="preserve">, their successors </w:t>
      </w:r>
      <w:r w:rsidR="007D4DB4">
        <w:t xml:space="preserve">were </w:t>
      </w:r>
      <w:r>
        <w:t xml:space="preserve">elected to one-year terms.  </w:t>
      </w:r>
    </w:p>
    <w:p w:rsidR="0015590F" w:rsidRDefault="0015590F" w:rsidP="00136567">
      <w:pPr>
        <w:pStyle w:val="ListParagraph"/>
        <w:widowControl/>
        <w:numPr>
          <w:ilvl w:val="0"/>
          <w:numId w:val="7"/>
        </w:numPr>
        <w:tabs>
          <w:tab w:val="left" w:pos="720"/>
        </w:tabs>
        <w:spacing w:after="60"/>
        <w:ind w:left="720"/>
        <w:contextualSpacing w:val="0"/>
        <w:jc w:val="left"/>
      </w:pPr>
      <w:r>
        <w:t>At the 2016 Annual Meeting of Stockholders</w:t>
      </w:r>
      <w:r w:rsidR="005F33B8">
        <w:t>, when</w:t>
      </w:r>
      <w:r>
        <w:t xml:space="preserve"> the terms of </w:t>
      </w:r>
      <w:r w:rsidR="00FD3863">
        <w:t xml:space="preserve">the two </w:t>
      </w:r>
      <w:r>
        <w:t>Class III directors expire</w:t>
      </w:r>
      <w:r w:rsidR="005F33B8">
        <w:t>, t</w:t>
      </w:r>
      <w:r>
        <w:t xml:space="preserve">heir successors and </w:t>
      </w:r>
      <w:r w:rsidR="0079365A">
        <w:t xml:space="preserve">the </w:t>
      </w:r>
      <w:r w:rsidR="00B43498">
        <w:t xml:space="preserve">successors to the </w:t>
      </w:r>
      <w:r w:rsidR="00FD3863">
        <w:t xml:space="preserve">three </w:t>
      </w:r>
      <w:r w:rsidR="0079365A">
        <w:t>directors whose terms expire</w:t>
      </w:r>
      <w:r w:rsidR="007D4DB4">
        <w:t>d</w:t>
      </w:r>
      <w:r w:rsidR="0079365A">
        <w:t xml:space="preserve"> at </w:t>
      </w:r>
      <w:r w:rsidR="007D4DB4">
        <w:t xml:space="preserve">the 2015 Annual Meeting of Stockholders </w:t>
      </w:r>
      <w:r>
        <w:t xml:space="preserve">will </w:t>
      </w:r>
      <w:r w:rsidR="005F33B8">
        <w:t xml:space="preserve">all </w:t>
      </w:r>
      <w:r>
        <w:t xml:space="preserve">be elected to one-year terms.  </w:t>
      </w:r>
    </w:p>
    <w:p w:rsidR="000C4BE3" w:rsidRDefault="0015590F" w:rsidP="00136567">
      <w:pPr>
        <w:pStyle w:val="ListParagraph"/>
        <w:widowControl/>
        <w:numPr>
          <w:ilvl w:val="0"/>
          <w:numId w:val="7"/>
        </w:numPr>
        <w:tabs>
          <w:tab w:val="left" w:pos="720"/>
        </w:tabs>
        <w:ind w:left="720"/>
        <w:contextualSpacing w:val="0"/>
        <w:jc w:val="left"/>
      </w:pPr>
      <w:r>
        <w:t>At the 2017 Annual Meeting of Sto</w:t>
      </w:r>
      <w:r w:rsidR="007D4DB4">
        <w:t>ckholders, the term</w:t>
      </w:r>
      <w:r>
        <w:t xml:space="preserve"> of </w:t>
      </w:r>
      <w:r w:rsidR="007D4DB4">
        <w:t xml:space="preserve">the </w:t>
      </w:r>
      <w:r w:rsidR="000C4BE3">
        <w:t xml:space="preserve">Company's </w:t>
      </w:r>
      <w:r w:rsidR="007D4DB4">
        <w:t>only Class I director will</w:t>
      </w:r>
      <w:r>
        <w:t xml:space="preserve"> expire.  </w:t>
      </w:r>
      <w:r w:rsidR="007D4DB4">
        <w:t>Her successor</w:t>
      </w:r>
      <w:r>
        <w:t xml:space="preserve"> and </w:t>
      </w:r>
      <w:r w:rsidR="00B43498">
        <w:t xml:space="preserve">the successors to the </w:t>
      </w:r>
      <w:r>
        <w:t xml:space="preserve">other directors </w:t>
      </w:r>
      <w:r w:rsidR="00B43498">
        <w:t xml:space="preserve">whose terms expire at that meeting </w:t>
      </w:r>
      <w:r>
        <w:t>will be elected to one-year terms</w:t>
      </w:r>
      <w:r w:rsidR="00B43498">
        <w:t xml:space="preserve">, and </w:t>
      </w:r>
      <w:r w:rsidR="007D4DB4">
        <w:t>as a result</w:t>
      </w:r>
      <w:r w:rsidR="00B43498">
        <w:t>, a</w:t>
      </w:r>
      <w:r>
        <w:t xml:space="preserve">t that time, directors will </w:t>
      </w:r>
      <w:r w:rsidR="0030425F">
        <w:t xml:space="preserve">no longer </w:t>
      </w:r>
      <w:r>
        <w:t xml:space="preserve">be </w:t>
      </w:r>
      <w:r w:rsidR="0030425F">
        <w:t>classified</w:t>
      </w:r>
      <w:r>
        <w:t xml:space="preserve">.  </w:t>
      </w:r>
    </w:p>
    <w:p w:rsidR="0015590F" w:rsidRDefault="002F642D" w:rsidP="000C4BE3">
      <w:pPr>
        <w:pStyle w:val="ListParagraph"/>
        <w:widowControl/>
        <w:tabs>
          <w:tab w:val="left" w:pos="720"/>
        </w:tabs>
        <w:contextualSpacing w:val="0"/>
        <w:jc w:val="left"/>
      </w:pPr>
      <w:r>
        <w:t>It is anticipated that a</w:t>
      </w:r>
      <w:r w:rsidR="000C4BE3">
        <w:t xml:space="preserve">t </w:t>
      </w:r>
      <w:r w:rsidR="00C93E1A">
        <w:t xml:space="preserve">the 2017 Annual Meeting, </w:t>
      </w:r>
      <w:r w:rsidR="000C4BE3">
        <w:t>s</w:t>
      </w:r>
      <w:r>
        <w:t>tock</w:t>
      </w:r>
      <w:r w:rsidR="000C4BE3">
        <w:t xml:space="preserve">holders will be asked to approve </w:t>
      </w:r>
      <w:r w:rsidR="00FD3863">
        <w:t>an</w:t>
      </w:r>
      <w:r w:rsidR="000C4BE3">
        <w:t xml:space="preserve"> amendment of the Company's Certificate of Incorporation in order bring it into compliance with Delaware's requirements regarding the removal of directors </w:t>
      </w:r>
      <w:r w:rsidR="00C93E1A">
        <w:t>for</w:t>
      </w:r>
      <w:r w:rsidR="000C4BE3">
        <w:t xml:space="preserve"> companies that do not have classified directors.  </w:t>
      </w:r>
    </w:p>
    <w:p w:rsidR="006E2D48" w:rsidRDefault="008E7245" w:rsidP="00136567">
      <w:pPr>
        <w:widowControl/>
        <w:jc w:val="left"/>
      </w:pPr>
      <w:r w:rsidRPr="008E7245">
        <w:t xml:space="preserve">The Bylaws of the Company permit the Board to determine from time to time </w:t>
      </w:r>
      <w:r w:rsidR="000937D3">
        <w:t xml:space="preserve">the number of </w:t>
      </w:r>
      <w:r w:rsidRPr="008E7245">
        <w:t xml:space="preserve">directors </w:t>
      </w:r>
      <w:r w:rsidR="000937D3">
        <w:t>serving on the Board</w:t>
      </w:r>
      <w:r w:rsidRPr="008E7245">
        <w:t xml:space="preserve">.  </w:t>
      </w:r>
      <w:r w:rsidR="00561C10" w:rsidRPr="003D67DC">
        <w:t xml:space="preserve">The Board has set </w:t>
      </w:r>
      <w:r w:rsidR="00561C10">
        <w:t xml:space="preserve">the size of the Board at </w:t>
      </w:r>
      <w:r w:rsidR="00290D77">
        <w:t>six</w:t>
      </w:r>
      <w:r w:rsidR="003D67DC" w:rsidRPr="003D67DC">
        <w:t xml:space="preserve"> directors.  </w:t>
      </w:r>
    </w:p>
    <w:p w:rsidR="00BC56B4" w:rsidRDefault="00BC56B4" w:rsidP="000C4BE3">
      <w:pPr>
        <w:widowControl/>
        <w:jc w:val="left"/>
      </w:pPr>
      <w:r>
        <w:t>To be elected</w:t>
      </w:r>
      <w:r w:rsidR="00FA3619">
        <w:t>,</w:t>
      </w:r>
      <w:r>
        <w:t xml:space="preserve"> a director must receive more votes for his or her election than against it.  </w:t>
      </w:r>
    </w:p>
    <w:p w:rsidR="008E7245" w:rsidRPr="0008556E" w:rsidRDefault="00F60ED8" w:rsidP="0008556E">
      <w:pPr>
        <w:widowControl/>
        <w:spacing w:after="240"/>
        <w:ind w:left="360"/>
        <w:jc w:val="center"/>
        <w:rPr>
          <w:smallCaps/>
          <w:sz w:val="20"/>
        </w:rPr>
      </w:pPr>
      <w:r w:rsidRPr="0008556E">
        <w:rPr>
          <w:b/>
          <w:smallCaps/>
          <w:sz w:val="20"/>
        </w:rPr>
        <w:t xml:space="preserve">the board of directors recommends that stockholders vote </w:t>
      </w:r>
      <w:r w:rsidRPr="000C4BE3">
        <w:rPr>
          <w:b/>
          <w:i/>
          <w:smallCaps/>
          <w:sz w:val="20"/>
        </w:rPr>
        <w:t>for</w:t>
      </w:r>
      <w:r w:rsidR="0008556E">
        <w:rPr>
          <w:b/>
          <w:smallCaps/>
          <w:sz w:val="20"/>
        </w:rPr>
        <w:t xml:space="preserve"> </w:t>
      </w:r>
      <w:r w:rsidRPr="0008556E">
        <w:rPr>
          <w:b/>
          <w:smallCaps/>
          <w:sz w:val="20"/>
        </w:rPr>
        <w:t>each director nominee</w:t>
      </w:r>
    </w:p>
    <w:p w:rsidR="00511AD9" w:rsidRDefault="00DA7BD0" w:rsidP="003359BC">
      <w:pPr>
        <w:keepNext/>
        <w:widowControl/>
        <w:spacing w:before="240" w:after="40"/>
        <w:jc w:val="left"/>
        <w:rPr>
          <w:rStyle w:val="002ProxyChar"/>
          <w:b w:val="0"/>
        </w:rPr>
      </w:pPr>
      <w:bookmarkStart w:id="32" w:name="_Toc381354108"/>
      <w:bookmarkStart w:id="33" w:name="_Toc445739553"/>
      <w:bookmarkStart w:id="34" w:name="_Toc381354107"/>
      <w:r w:rsidRPr="00173C6B">
        <w:rPr>
          <w:rStyle w:val="002ProxyChar"/>
        </w:rPr>
        <w:t>The Nominees &amp; Continuing Director</w:t>
      </w:r>
      <w:bookmarkEnd w:id="32"/>
      <w:r w:rsidR="002432F4" w:rsidRPr="00173C6B">
        <w:rPr>
          <w:rStyle w:val="002ProxyChar"/>
        </w:rPr>
        <w:t>;</w:t>
      </w:r>
      <w:r w:rsidRPr="00173C6B">
        <w:rPr>
          <w:rStyle w:val="002ProxyChar"/>
        </w:rPr>
        <w:t xml:space="preserve"> Independence</w:t>
      </w:r>
      <w:bookmarkEnd w:id="33"/>
      <w:r w:rsidR="00326BC9" w:rsidRPr="00326BC9">
        <w:t>.</w:t>
      </w:r>
    </w:p>
    <w:p w:rsidR="008F1A65" w:rsidRDefault="00DA7BD0" w:rsidP="003359BC">
      <w:pPr>
        <w:keepNext/>
        <w:widowControl/>
        <w:spacing w:after="60"/>
        <w:jc w:val="left"/>
      </w:pPr>
      <w:r>
        <w:t xml:space="preserve">Each of the nominees listed below has stated a willingness to serve if elected.  If any nominee is unable to serve, the proxy holders may vote for a substitute nominee.  The Board has no reason to believe that any of the nominees will be unable to serve.  </w:t>
      </w:r>
    </w:p>
    <w:p w:rsidR="00DA7BD0" w:rsidRDefault="00DA7BD0" w:rsidP="003359BC">
      <w:pPr>
        <w:keepNext/>
        <w:widowControl/>
        <w:spacing w:after="60"/>
        <w:jc w:val="left"/>
      </w:pPr>
      <w:r>
        <w:t>A proxy cannot be voted by the proxy holders for more persons than the number of nominees named in this Proxy Statement.  Information about the number of shares of common stock of the Company owned by the nomin</w:t>
      </w:r>
      <w:r w:rsidR="006A2C35">
        <w:t>ees and the continuing director</w:t>
      </w:r>
      <w:r>
        <w:t xml:space="preserve"> can be found below under the heading </w:t>
      </w:r>
      <w:r w:rsidRPr="006746D6">
        <w:rPr>
          <w:i/>
        </w:rPr>
        <w:t>Stock Ownership Information</w:t>
      </w:r>
      <w:r>
        <w:t xml:space="preserve">.  </w:t>
      </w:r>
      <w:bookmarkEnd w:id="34"/>
    </w:p>
    <w:p w:rsidR="00042670" w:rsidRDefault="00AF767A" w:rsidP="006A2C35">
      <w:pPr>
        <w:widowControl/>
        <w:jc w:val="left"/>
      </w:pPr>
      <w:r>
        <w:t xml:space="preserve">The table </w:t>
      </w:r>
      <w:r w:rsidR="001E5D73">
        <w:t xml:space="preserve">below </w:t>
      </w:r>
      <w:r>
        <w:t xml:space="preserve">shows </w:t>
      </w:r>
      <w:r w:rsidR="00E9438F">
        <w:t xml:space="preserve">information about </w:t>
      </w:r>
      <w:r>
        <w:t xml:space="preserve">the </w:t>
      </w:r>
      <w:r w:rsidR="00511AD9">
        <w:t xml:space="preserve">nominees for director and </w:t>
      </w:r>
      <w:r w:rsidR="00DA7BD0">
        <w:t>the</w:t>
      </w:r>
      <w:r w:rsidR="00511AD9">
        <w:t xml:space="preserve"> </w:t>
      </w:r>
      <w:r w:rsidR="00755B12">
        <w:t>continuing</w:t>
      </w:r>
      <w:r w:rsidR="006A2C35">
        <w:t xml:space="preserve"> director</w:t>
      </w:r>
      <w:r w:rsidR="00511AD9">
        <w:t xml:space="preserve">.  </w:t>
      </w:r>
      <w:r w:rsidR="006A2C35">
        <w:t xml:space="preserve">All of the directors </w:t>
      </w:r>
      <w:r w:rsidR="00755B12">
        <w:t>satisfy</w:t>
      </w:r>
      <w:r>
        <w:t xml:space="preserve"> the Nasdaq Stock Market's definition of an independent director</w:t>
      </w:r>
      <w:r w:rsidR="006A2C35">
        <w:t xml:space="preserve"> except for </w:t>
      </w:r>
      <w:r w:rsidR="00755B12">
        <w:t>Mr. Varello</w:t>
      </w:r>
      <w:r w:rsidR="006A2C35">
        <w:t xml:space="preserve">, who, as the Company's Chief Executive Officer and as </w:t>
      </w:r>
      <w:r w:rsidR="00755B12">
        <w:t>an employee of the Company</w:t>
      </w:r>
      <w:r w:rsidR="006A2C35">
        <w:t>,</w:t>
      </w:r>
      <w:r w:rsidR="00755B12">
        <w:t xml:space="preserve"> is</w:t>
      </w:r>
      <w:r w:rsidR="008F1A65">
        <w:t xml:space="preserve"> not</w:t>
      </w:r>
      <w:r w:rsidR="00755B12">
        <w:t xml:space="preserve"> </w:t>
      </w:r>
      <w:r w:rsidR="006A2C35">
        <w:t xml:space="preserve">considered </w:t>
      </w:r>
      <w:r w:rsidR="00755B12">
        <w:t xml:space="preserve">independent.  </w:t>
      </w:r>
    </w:p>
    <w:tbl>
      <w:tblPr>
        <w:tblStyle w:val="TableGrid"/>
        <w:tblW w:w="9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33"/>
        <w:gridCol w:w="1920"/>
        <w:gridCol w:w="2264"/>
        <w:gridCol w:w="564"/>
        <w:gridCol w:w="686"/>
        <w:gridCol w:w="952"/>
        <w:gridCol w:w="1189"/>
      </w:tblGrid>
      <w:tr w:rsidR="00C256B5" w:rsidTr="00A4452D">
        <w:trPr>
          <w:cantSplit/>
          <w:jc w:val="center"/>
        </w:trPr>
        <w:tc>
          <w:tcPr>
            <w:tcW w:w="2033" w:type="dxa"/>
            <w:tcBorders>
              <w:bottom w:val="single" w:sz="4" w:space="0" w:color="auto"/>
            </w:tcBorders>
            <w:vAlign w:val="bottom"/>
          </w:tcPr>
          <w:p w:rsidR="00C256B5" w:rsidRPr="00042670" w:rsidRDefault="00C256B5" w:rsidP="006A2C35">
            <w:pPr>
              <w:keepNext/>
              <w:keepLines/>
              <w:widowControl/>
              <w:spacing w:after="0"/>
              <w:jc w:val="left"/>
              <w:rPr>
                <w:b/>
                <w:i/>
                <w:sz w:val="20"/>
              </w:rPr>
            </w:pPr>
            <w:r w:rsidRPr="00042670">
              <w:rPr>
                <w:b/>
                <w:i/>
                <w:sz w:val="20"/>
              </w:rPr>
              <w:lastRenderedPageBreak/>
              <w:t>Nominees</w:t>
            </w:r>
          </w:p>
        </w:tc>
        <w:tc>
          <w:tcPr>
            <w:tcW w:w="1920" w:type="dxa"/>
            <w:tcBorders>
              <w:bottom w:val="single" w:sz="4" w:space="0" w:color="auto"/>
            </w:tcBorders>
            <w:vAlign w:val="bottom"/>
          </w:tcPr>
          <w:p w:rsidR="00C256B5" w:rsidRPr="0008556E" w:rsidRDefault="00C256B5" w:rsidP="006A2C35">
            <w:pPr>
              <w:keepNext/>
              <w:keepLines/>
              <w:widowControl/>
              <w:spacing w:after="0"/>
              <w:jc w:val="center"/>
              <w:rPr>
                <w:b/>
                <w:sz w:val="20"/>
              </w:rPr>
            </w:pPr>
            <w:r w:rsidRPr="0008556E">
              <w:rPr>
                <w:b/>
                <w:sz w:val="20"/>
              </w:rPr>
              <w:t>Current Position</w:t>
            </w:r>
          </w:p>
        </w:tc>
        <w:tc>
          <w:tcPr>
            <w:tcW w:w="2264" w:type="dxa"/>
            <w:tcBorders>
              <w:bottom w:val="single" w:sz="4" w:space="0" w:color="auto"/>
            </w:tcBorders>
            <w:vAlign w:val="bottom"/>
          </w:tcPr>
          <w:p w:rsidR="00A4452D" w:rsidRDefault="00C256B5" w:rsidP="006A2C35">
            <w:pPr>
              <w:keepNext/>
              <w:keepLines/>
              <w:widowControl/>
              <w:spacing w:after="0"/>
              <w:jc w:val="center"/>
              <w:rPr>
                <w:b/>
                <w:sz w:val="20"/>
              </w:rPr>
            </w:pPr>
            <w:r w:rsidRPr="0008556E">
              <w:rPr>
                <w:b/>
                <w:sz w:val="20"/>
              </w:rPr>
              <w:t>Committee</w:t>
            </w:r>
          </w:p>
          <w:p w:rsidR="00C256B5" w:rsidRPr="0008556E" w:rsidRDefault="00A4452D" w:rsidP="006A2C35">
            <w:pPr>
              <w:keepNext/>
              <w:keepLines/>
              <w:widowControl/>
              <w:spacing w:after="0"/>
              <w:jc w:val="center"/>
              <w:rPr>
                <w:b/>
                <w:sz w:val="20"/>
              </w:rPr>
            </w:pPr>
            <w:r>
              <w:rPr>
                <w:b/>
                <w:sz w:val="20"/>
              </w:rPr>
              <w:t>Assignment</w:t>
            </w:r>
            <w:r w:rsidR="001E5D73" w:rsidRPr="0008556E">
              <w:rPr>
                <w:b/>
                <w:sz w:val="20"/>
                <w:vertAlign w:val="superscript"/>
              </w:rPr>
              <w:t>(1)</w:t>
            </w:r>
            <w:r w:rsidR="00726767" w:rsidRPr="0008556E">
              <w:rPr>
                <w:b/>
                <w:sz w:val="20"/>
                <w:vertAlign w:val="superscript"/>
              </w:rPr>
              <w:t>*</w:t>
            </w:r>
          </w:p>
        </w:tc>
        <w:tc>
          <w:tcPr>
            <w:tcW w:w="564" w:type="dxa"/>
            <w:tcBorders>
              <w:bottom w:val="single" w:sz="4" w:space="0" w:color="auto"/>
            </w:tcBorders>
            <w:vAlign w:val="bottom"/>
          </w:tcPr>
          <w:p w:rsidR="00C256B5" w:rsidRPr="0008556E" w:rsidRDefault="00C256B5" w:rsidP="006A2C35">
            <w:pPr>
              <w:keepNext/>
              <w:keepLines/>
              <w:widowControl/>
              <w:spacing w:after="0"/>
              <w:jc w:val="center"/>
              <w:rPr>
                <w:b/>
                <w:sz w:val="20"/>
              </w:rPr>
            </w:pPr>
            <w:r w:rsidRPr="0008556E">
              <w:rPr>
                <w:b/>
                <w:sz w:val="20"/>
              </w:rPr>
              <w:t>Age</w:t>
            </w:r>
          </w:p>
        </w:tc>
        <w:tc>
          <w:tcPr>
            <w:tcW w:w="686" w:type="dxa"/>
            <w:tcBorders>
              <w:bottom w:val="single" w:sz="4" w:space="0" w:color="auto"/>
            </w:tcBorders>
            <w:vAlign w:val="bottom"/>
          </w:tcPr>
          <w:p w:rsidR="00C256B5" w:rsidRPr="0008556E" w:rsidRDefault="00C256B5" w:rsidP="006A2C35">
            <w:pPr>
              <w:keepNext/>
              <w:keepLines/>
              <w:widowControl/>
              <w:spacing w:after="0"/>
              <w:jc w:val="center"/>
              <w:rPr>
                <w:b/>
                <w:sz w:val="20"/>
              </w:rPr>
            </w:pPr>
            <w:r w:rsidRPr="0008556E">
              <w:rPr>
                <w:b/>
                <w:sz w:val="20"/>
              </w:rPr>
              <w:t>Class</w:t>
            </w:r>
          </w:p>
        </w:tc>
        <w:tc>
          <w:tcPr>
            <w:tcW w:w="952" w:type="dxa"/>
            <w:tcBorders>
              <w:bottom w:val="single" w:sz="4" w:space="0" w:color="auto"/>
            </w:tcBorders>
            <w:vAlign w:val="bottom"/>
          </w:tcPr>
          <w:p w:rsidR="00C256B5" w:rsidRPr="0008556E" w:rsidRDefault="00C256B5" w:rsidP="006A2C35">
            <w:pPr>
              <w:keepNext/>
              <w:keepLines/>
              <w:widowControl/>
              <w:spacing w:after="0"/>
              <w:jc w:val="center"/>
              <w:rPr>
                <w:b/>
                <w:sz w:val="20"/>
              </w:rPr>
            </w:pPr>
            <w:r w:rsidRPr="0008556E">
              <w:rPr>
                <w:b/>
                <w:sz w:val="20"/>
              </w:rPr>
              <w:t>Director Since</w:t>
            </w:r>
          </w:p>
        </w:tc>
        <w:tc>
          <w:tcPr>
            <w:tcW w:w="1189" w:type="dxa"/>
            <w:tcBorders>
              <w:bottom w:val="single" w:sz="4" w:space="0" w:color="auto"/>
            </w:tcBorders>
            <w:vAlign w:val="bottom"/>
          </w:tcPr>
          <w:p w:rsidR="00C256B5" w:rsidRPr="0008556E" w:rsidRDefault="00C256B5" w:rsidP="006A2C35">
            <w:pPr>
              <w:keepNext/>
              <w:keepLines/>
              <w:widowControl/>
              <w:spacing w:after="0"/>
              <w:jc w:val="center"/>
              <w:rPr>
                <w:i/>
                <w:sz w:val="20"/>
              </w:rPr>
            </w:pPr>
            <w:r w:rsidRPr="0008556E">
              <w:rPr>
                <w:b/>
                <w:sz w:val="20"/>
              </w:rPr>
              <w:t>Year Term Expires</w:t>
            </w:r>
          </w:p>
        </w:tc>
      </w:tr>
      <w:tr w:rsidR="006A2C35" w:rsidTr="00A4452D">
        <w:trPr>
          <w:jc w:val="center"/>
        </w:trPr>
        <w:tc>
          <w:tcPr>
            <w:tcW w:w="2033" w:type="dxa"/>
            <w:tcBorders>
              <w:top w:val="single" w:sz="4" w:space="0" w:color="auto"/>
            </w:tcBorders>
            <w:shd w:val="clear" w:color="auto" w:fill="C6D9F1" w:themeFill="text2" w:themeFillTint="33"/>
            <w:tcMar>
              <w:top w:w="58" w:type="dxa"/>
              <w:left w:w="115" w:type="dxa"/>
              <w:bottom w:w="58" w:type="dxa"/>
              <w:right w:w="115" w:type="dxa"/>
            </w:tcMar>
          </w:tcPr>
          <w:p w:rsidR="006A2C35" w:rsidRDefault="006A2C35" w:rsidP="006A2C35">
            <w:pPr>
              <w:keepNext/>
              <w:keepLines/>
              <w:widowControl/>
              <w:spacing w:after="0"/>
              <w:jc w:val="left"/>
              <w:rPr>
                <w:sz w:val="20"/>
              </w:rPr>
            </w:pPr>
            <w:r w:rsidRPr="00B543CF">
              <w:rPr>
                <w:sz w:val="20"/>
              </w:rPr>
              <w:t>Maarten D. Hemsley</w:t>
            </w:r>
          </w:p>
          <w:p w:rsidR="000B1DD5" w:rsidRPr="00B543CF" w:rsidRDefault="000B1DD5" w:rsidP="006A2C35">
            <w:pPr>
              <w:keepNext/>
              <w:keepLines/>
              <w:widowControl/>
              <w:spacing w:after="0"/>
              <w:jc w:val="left"/>
              <w:rPr>
                <w:sz w:val="20"/>
              </w:rPr>
            </w:pPr>
            <w:r>
              <w:rPr>
                <w:sz w:val="20"/>
              </w:rPr>
              <w:t>(</w:t>
            </w:r>
            <w:r w:rsidRPr="000B1DD5">
              <w:rPr>
                <w:i/>
                <w:sz w:val="20"/>
              </w:rPr>
              <w:t>nominee</w:t>
            </w:r>
            <w:r>
              <w:rPr>
                <w:sz w:val="20"/>
              </w:rPr>
              <w:t>)</w:t>
            </w:r>
          </w:p>
        </w:tc>
        <w:tc>
          <w:tcPr>
            <w:tcW w:w="1920" w:type="dxa"/>
            <w:tcBorders>
              <w:top w:val="single" w:sz="4" w:space="0" w:color="auto"/>
            </w:tcBorders>
            <w:shd w:val="clear" w:color="auto" w:fill="C6D9F1" w:themeFill="text2" w:themeFillTint="33"/>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Director</w:t>
            </w:r>
          </w:p>
        </w:tc>
        <w:tc>
          <w:tcPr>
            <w:tcW w:w="2264" w:type="dxa"/>
            <w:tcBorders>
              <w:top w:val="single" w:sz="4" w:space="0" w:color="auto"/>
            </w:tcBorders>
            <w:shd w:val="clear" w:color="auto" w:fill="C6D9F1" w:themeFill="text2" w:themeFillTint="33"/>
            <w:tcMar>
              <w:top w:w="58" w:type="dxa"/>
            </w:tcMar>
          </w:tcPr>
          <w:p w:rsidR="006A2C35" w:rsidRDefault="006A2C35" w:rsidP="006A2C35">
            <w:pPr>
              <w:keepNext/>
              <w:keepLines/>
              <w:widowControl/>
              <w:spacing w:after="0"/>
              <w:jc w:val="center"/>
              <w:rPr>
                <w:sz w:val="20"/>
              </w:rPr>
            </w:pPr>
            <w:r>
              <w:rPr>
                <w:sz w:val="20"/>
              </w:rPr>
              <w:t>Audit</w:t>
            </w:r>
          </w:p>
          <w:p w:rsidR="006A2C35" w:rsidRPr="00B543CF" w:rsidRDefault="006A2C35" w:rsidP="006A2C35">
            <w:pPr>
              <w:keepNext/>
              <w:keepLines/>
              <w:widowControl/>
              <w:spacing w:after="0"/>
              <w:jc w:val="center"/>
              <w:rPr>
                <w:sz w:val="20"/>
              </w:rPr>
            </w:pPr>
            <w:r>
              <w:rPr>
                <w:sz w:val="20"/>
              </w:rPr>
              <w:t>Corporate Governance</w:t>
            </w:r>
          </w:p>
        </w:tc>
        <w:tc>
          <w:tcPr>
            <w:tcW w:w="564" w:type="dxa"/>
            <w:tcBorders>
              <w:top w:val="single" w:sz="4" w:space="0" w:color="auto"/>
            </w:tcBorders>
            <w:shd w:val="clear" w:color="auto" w:fill="C6D9F1" w:themeFill="text2" w:themeFillTint="33"/>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6</w:t>
            </w:r>
            <w:r>
              <w:rPr>
                <w:sz w:val="20"/>
              </w:rPr>
              <w:t>6</w:t>
            </w:r>
          </w:p>
        </w:tc>
        <w:tc>
          <w:tcPr>
            <w:tcW w:w="686" w:type="dxa"/>
            <w:tcBorders>
              <w:top w:val="single" w:sz="4" w:space="0" w:color="auto"/>
            </w:tcBorders>
            <w:shd w:val="clear" w:color="auto" w:fill="C6D9F1" w:themeFill="text2" w:themeFillTint="33"/>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Pr>
                <w:sz w:val="20"/>
              </w:rPr>
              <w:t>N/A</w:t>
            </w:r>
          </w:p>
        </w:tc>
        <w:tc>
          <w:tcPr>
            <w:tcW w:w="952" w:type="dxa"/>
            <w:tcBorders>
              <w:top w:val="single" w:sz="4" w:space="0" w:color="auto"/>
            </w:tcBorders>
            <w:shd w:val="clear" w:color="auto" w:fill="C6D9F1" w:themeFill="text2" w:themeFillTint="33"/>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1998</w:t>
            </w:r>
          </w:p>
        </w:tc>
        <w:tc>
          <w:tcPr>
            <w:tcW w:w="1189" w:type="dxa"/>
            <w:tcBorders>
              <w:top w:val="single" w:sz="4" w:space="0" w:color="auto"/>
            </w:tcBorders>
            <w:shd w:val="clear" w:color="auto" w:fill="C6D9F1" w:themeFill="text2" w:themeFillTint="33"/>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201</w:t>
            </w:r>
            <w:r>
              <w:rPr>
                <w:sz w:val="20"/>
              </w:rPr>
              <w:t>7</w:t>
            </w:r>
          </w:p>
        </w:tc>
      </w:tr>
      <w:tr w:rsidR="006A2C35" w:rsidTr="00A4452D">
        <w:trPr>
          <w:jc w:val="center"/>
        </w:trPr>
        <w:tc>
          <w:tcPr>
            <w:tcW w:w="2033" w:type="dxa"/>
            <w:shd w:val="clear" w:color="auto" w:fill="FFFFFF" w:themeFill="background1"/>
            <w:tcMar>
              <w:top w:w="58" w:type="dxa"/>
              <w:left w:w="115" w:type="dxa"/>
              <w:bottom w:w="58" w:type="dxa"/>
              <w:right w:w="115" w:type="dxa"/>
            </w:tcMar>
          </w:tcPr>
          <w:p w:rsidR="006A2C35" w:rsidRDefault="006A2C35" w:rsidP="006A2C35">
            <w:pPr>
              <w:keepNext/>
              <w:keepLines/>
              <w:widowControl/>
              <w:spacing w:after="0"/>
              <w:jc w:val="left"/>
              <w:rPr>
                <w:sz w:val="20"/>
              </w:rPr>
            </w:pPr>
            <w:r w:rsidRPr="00B543CF">
              <w:rPr>
                <w:sz w:val="20"/>
              </w:rPr>
              <w:t>Charles R. Patton</w:t>
            </w:r>
          </w:p>
          <w:p w:rsidR="000B1DD5" w:rsidRPr="00B543CF" w:rsidRDefault="000B1DD5" w:rsidP="006A2C35">
            <w:pPr>
              <w:keepNext/>
              <w:keepLines/>
              <w:widowControl/>
              <w:spacing w:after="0"/>
              <w:jc w:val="left"/>
              <w:rPr>
                <w:sz w:val="20"/>
              </w:rPr>
            </w:pPr>
            <w:r>
              <w:rPr>
                <w:sz w:val="20"/>
              </w:rPr>
              <w:t>(</w:t>
            </w:r>
            <w:r w:rsidRPr="000B1DD5">
              <w:rPr>
                <w:i/>
                <w:sz w:val="20"/>
              </w:rPr>
              <w:t>nominee</w:t>
            </w:r>
            <w:r>
              <w:rPr>
                <w:sz w:val="20"/>
              </w:rPr>
              <w:t>)</w:t>
            </w:r>
          </w:p>
        </w:tc>
        <w:tc>
          <w:tcPr>
            <w:tcW w:w="1920" w:type="dxa"/>
            <w:shd w:val="clear" w:color="auto" w:fill="FFFFFF" w:themeFill="background1"/>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Director</w:t>
            </w:r>
          </w:p>
        </w:tc>
        <w:tc>
          <w:tcPr>
            <w:tcW w:w="2264" w:type="dxa"/>
            <w:shd w:val="clear" w:color="auto" w:fill="FFFFFF" w:themeFill="background1"/>
            <w:tcMar>
              <w:top w:w="58" w:type="dxa"/>
            </w:tcMar>
          </w:tcPr>
          <w:p w:rsidR="006A2C35" w:rsidRDefault="006A2C35" w:rsidP="006A2C35">
            <w:pPr>
              <w:keepNext/>
              <w:keepLines/>
              <w:widowControl/>
              <w:spacing w:after="0"/>
              <w:jc w:val="center"/>
              <w:rPr>
                <w:sz w:val="20"/>
              </w:rPr>
            </w:pPr>
            <w:r>
              <w:rPr>
                <w:sz w:val="20"/>
              </w:rPr>
              <w:t>Compensation</w:t>
            </w:r>
          </w:p>
        </w:tc>
        <w:tc>
          <w:tcPr>
            <w:tcW w:w="564" w:type="dxa"/>
            <w:shd w:val="clear" w:color="auto" w:fill="FFFFFF" w:themeFill="background1"/>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Pr>
                <w:sz w:val="20"/>
              </w:rPr>
              <w:t>56</w:t>
            </w:r>
          </w:p>
        </w:tc>
        <w:tc>
          <w:tcPr>
            <w:tcW w:w="686" w:type="dxa"/>
            <w:shd w:val="clear" w:color="auto" w:fill="FFFFFF" w:themeFill="background1"/>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Pr>
                <w:sz w:val="20"/>
              </w:rPr>
              <w:t>N/A</w:t>
            </w:r>
          </w:p>
        </w:tc>
        <w:tc>
          <w:tcPr>
            <w:tcW w:w="952" w:type="dxa"/>
            <w:shd w:val="clear" w:color="auto" w:fill="FFFFFF" w:themeFill="background1"/>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sidRPr="00B543CF">
              <w:rPr>
                <w:sz w:val="20"/>
              </w:rPr>
              <w:t>2013</w:t>
            </w:r>
          </w:p>
        </w:tc>
        <w:tc>
          <w:tcPr>
            <w:tcW w:w="1189" w:type="dxa"/>
            <w:shd w:val="clear" w:color="auto" w:fill="FFFFFF" w:themeFill="background1"/>
            <w:tcMar>
              <w:top w:w="58" w:type="dxa"/>
              <w:left w:w="115" w:type="dxa"/>
              <w:bottom w:w="58" w:type="dxa"/>
              <w:right w:w="115" w:type="dxa"/>
            </w:tcMar>
          </w:tcPr>
          <w:p w:rsidR="006A2C35" w:rsidRPr="00B543CF" w:rsidRDefault="006A2C35" w:rsidP="006A2C35">
            <w:pPr>
              <w:keepNext/>
              <w:keepLines/>
              <w:widowControl/>
              <w:spacing w:after="0"/>
              <w:jc w:val="center"/>
              <w:rPr>
                <w:sz w:val="20"/>
              </w:rPr>
            </w:pPr>
            <w:r>
              <w:rPr>
                <w:sz w:val="20"/>
              </w:rPr>
              <w:t>2017</w:t>
            </w:r>
          </w:p>
        </w:tc>
      </w:tr>
      <w:tr w:rsidR="006A2C35" w:rsidTr="00A4452D">
        <w:trPr>
          <w:jc w:val="center"/>
        </w:trPr>
        <w:tc>
          <w:tcPr>
            <w:tcW w:w="2033" w:type="dxa"/>
            <w:shd w:val="clear" w:color="auto" w:fill="C6D9F1" w:themeFill="text2" w:themeFillTint="33"/>
            <w:tcMar>
              <w:top w:w="58" w:type="dxa"/>
              <w:left w:w="115" w:type="dxa"/>
              <w:bottom w:w="58" w:type="dxa"/>
              <w:right w:w="115" w:type="dxa"/>
            </w:tcMar>
          </w:tcPr>
          <w:p w:rsidR="006A2C35" w:rsidRDefault="006A2C35" w:rsidP="00F84811">
            <w:pPr>
              <w:spacing w:after="0"/>
              <w:jc w:val="left"/>
              <w:rPr>
                <w:sz w:val="20"/>
              </w:rPr>
            </w:pPr>
            <w:r w:rsidRPr="00B543CF">
              <w:rPr>
                <w:sz w:val="20"/>
              </w:rPr>
              <w:t>Richard O. Schaum</w:t>
            </w:r>
          </w:p>
          <w:p w:rsidR="000B1DD5" w:rsidRPr="00B543CF" w:rsidRDefault="000B1DD5" w:rsidP="00F84811">
            <w:pPr>
              <w:spacing w:after="0"/>
              <w:jc w:val="left"/>
              <w:rPr>
                <w:sz w:val="20"/>
              </w:rPr>
            </w:pPr>
            <w:r>
              <w:rPr>
                <w:sz w:val="20"/>
              </w:rPr>
              <w:t>(</w:t>
            </w:r>
            <w:r w:rsidRPr="000B1DD5">
              <w:rPr>
                <w:i/>
                <w:sz w:val="20"/>
              </w:rPr>
              <w:t>nominee</w:t>
            </w:r>
            <w:r>
              <w:rPr>
                <w:sz w:val="20"/>
              </w:rPr>
              <w:t>)</w:t>
            </w:r>
          </w:p>
        </w:tc>
        <w:tc>
          <w:tcPr>
            <w:tcW w:w="1920"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Director</w:t>
            </w:r>
          </w:p>
        </w:tc>
        <w:tc>
          <w:tcPr>
            <w:tcW w:w="2264" w:type="dxa"/>
            <w:shd w:val="clear" w:color="auto" w:fill="C6D9F1" w:themeFill="text2" w:themeFillTint="33"/>
            <w:tcMar>
              <w:top w:w="58" w:type="dxa"/>
            </w:tcMar>
          </w:tcPr>
          <w:p w:rsidR="006A2C35" w:rsidRDefault="006A2C35" w:rsidP="00332D7F">
            <w:pPr>
              <w:spacing w:after="0"/>
              <w:jc w:val="center"/>
              <w:rPr>
                <w:sz w:val="20"/>
              </w:rPr>
            </w:pPr>
            <w:r>
              <w:rPr>
                <w:sz w:val="20"/>
              </w:rPr>
              <w:t>Audit</w:t>
            </w:r>
          </w:p>
          <w:p w:rsidR="006A2C35" w:rsidRPr="00B543CF" w:rsidRDefault="006A2C35" w:rsidP="00332D7F">
            <w:pPr>
              <w:spacing w:after="0"/>
              <w:jc w:val="center"/>
              <w:rPr>
                <w:sz w:val="20"/>
              </w:rPr>
            </w:pPr>
            <w:r>
              <w:rPr>
                <w:sz w:val="20"/>
              </w:rPr>
              <w:t>Compensation*</w:t>
            </w:r>
          </w:p>
        </w:tc>
        <w:tc>
          <w:tcPr>
            <w:tcW w:w="564"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6</w:t>
            </w:r>
            <w:r>
              <w:rPr>
                <w:sz w:val="20"/>
              </w:rPr>
              <w:t>9</w:t>
            </w:r>
          </w:p>
        </w:tc>
        <w:tc>
          <w:tcPr>
            <w:tcW w:w="686"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Pr>
                <w:sz w:val="20"/>
              </w:rPr>
              <w:t>N/A</w:t>
            </w:r>
          </w:p>
        </w:tc>
        <w:tc>
          <w:tcPr>
            <w:tcW w:w="952"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2010</w:t>
            </w:r>
          </w:p>
        </w:tc>
        <w:tc>
          <w:tcPr>
            <w:tcW w:w="1189"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201</w:t>
            </w:r>
            <w:r>
              <w:rPr>
                <w:sz w:val="20"/>
              </w:rPr>
              <w:t>7</w:t>
            </w:r>
          </w:p>
        </w:tc>
      </w:tr>
      <w:tr w:rsidR="006A2C35" w:rsidTr="000B1DD5">
        <w:trPr>
          <w:jc w:val="center"/>
        </w:trPr>
        <w:tc>
          <w:tcPr>
            <w:tcW w:w="2033" w:type="dxa"/>
            <w:shd w:val="clear" w:color="auto" w:fill="FFFFFF" w:themeFill="background1"/>
            <w:tcMar>
              <w:top w:w="58" w:type="dxa"/>
              <w:left w:w="115" w:type="dxa"/>
              <w:bottom w:w="58" w:type="dxa"/>
              <w:right w:w="115" w:type="dxa"/>
            </w:tcMar>
          </w:tcPr>
          <w:p w:rsidR="006A2C35" w:rsidRDefault="006A2C35" w:rsidP="00F84811">
            <w:pPr>
              <w:spacing w:after="0"/>
              <w:jc w:val="left"/>
              <w:rPr>
                <w:sz w:val="20"/>
              </w:rPr>
            </w:pPr>
            <w:r w:rsidRPr="00B543CF">
              <w:rPr>
                <w:sz w:val="20"/>
              </w:rPr>
              <w:t>Milton L. Scott</w:t>
            </w:r>
          </w:p>
          <w:p w:rsidR="000B1DD5" w:rsidRPr="00B543CF" w:rsidRDefault="000B1DD5" w:rsidP="00F84811">
            <w:pPr>
              <w:spacing w:after="0"/>
              <w:jc w:val="left"/>
              <w:rPr>
                <w:sz w:val="20"/>
              </w:rPr>
            </w:pPr>
            <w:r>
              <w:rPr>
                <w:sz w:val="20"/>
              </w:rPr>
              <w:t>(</w:t>
            </w:r>
            <w:r w:rsidRPr="000B1DD5">
              <w:rPr>
                <w:i/>
                <w:sz w:val="20"/>
              </w:rPr>
              <w:t>nominee</w:t>
            </w:r>
            <w:r>
              <w:rPr>
                <w:sz w:val="20"/>
              </w:rPr>
              <w:t>)</w:t>
            </w:r>
          </w:p>
        </w:tc>
        <w:tc>
          <w:tcPr>
            <w:tcW w:w="1920" w:type="dxa"/>
            <w:shd w:val="clear" w:color="auto" w:fill="FFFFFF" w:themeFill="background1"/>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Director</w:t>
            </w:r>
          </w:p>
        </w:tc>
        <w:tc>
          <w:tcPr>
            <w:tcW w:w="2264" w:type="dxa"/>
            <w:shd w:val="clear" w:color="auto" w:fill="FFFFFF" w:themeFill="background1"/>
          </w:tcPr>
          <w:p w:rsidR="006A2C35" w:rsidRDefault="006A2C35" w:rsidP="00F84811">
            <w:pPr>
              <w:spacing w:after="0"/>
              <w:jc w:val="center"/>
              <w:rPr>
                <w:sz w:val="20"/>
              </w:rPr>
            </w:pPr>
            <w:r>
              <w:rPr>
                <w:sz w:val="20"/>
              </w:rPr>
              <w:t>Chairman of the Board</w:t>
            </w:r>
          </w:p>
          <w:p w:rsidR="006A2C35" w:rsidRDefault="006A2C35" w:rsidP="00F84811">
            <w:pPr>
              <w:spacing w:after="0"/>
              <w:jc w:val="center"/>
              <w:rPr>
                <w:sz w:val="20"/>
              </w:rPr>
            </w:pPr>
            <w:r>
              <w:rPr>
                <w:sz w:val="20"/>
              </w:rPr>
              <w:t>Audit*</w:t>
            </w:r>
          </w:p>
          <w:p w:rsidR="006A2C35" w:rsidRDefault="006A2C35" w:rsidP="00F84811">
            <w:pPr>
              <w:spacing w:after="0"/>
              <w:jc w:val="center"/>
              <w:rPr>
                <w:sz w:val="20"/>
              </w:rPr>
            </w:pPr>
            <w:r>
              <w:rPr>
                <w:sz w:val="20"/>
              </w:rPr>
              <w:t>Corporate Governance</w:t>
            </w:r>
          </w:p>
        </w:tc>
        <w:tc>
          <w:tcPr>
            <w:tcW w:w="564" w:type="dxa"/>
            <w:shd w:val="clear" w:color="auto" w:fill="FFFFFF" w:themeFill="background1"/>
            <w:tcMar>
              <w:top w:w="58" w:type="dxa"/>
              <w:left w:w="115" w:type="dxa"/>
              <w:bottom w:w="58" w:type="dxa"/>
              <w:right w:w="115" w:type="dxa"/>
            </w:tcMar>
          </w:tcPr>
          <w:p w:rsidR="006A2C35" w:rsidRPr="00B543CF" w:rsidRDefault="006A2C35" w:rsidP="00F84811">
            <w:pPr>
              <w:spacing w:after="0"/>
              <w:jc w:val="center"/>
              <w:rPr>
                <w:sz w:val="20"/>
              </w:rPr>
            </w:pPr>
            <w:r>
              <w:rPr>
                <w:sz w:val="20"/>
              </w:rPr>
              <w:t>59</w:t>
            </w:r>
          </w:p>
        </w:tc>
        <w:tc>
          <w:tcPr>
            <w:tcW w:w="686" w:type="dxa"/>
            <w:shd w:val="clear" w:color="auto" w:fill="FFFFFF" w:themeFill="background1"/>
            <w:tcMar>
              <w:top w:w="58" w:type="dxa"/>
              <w:left w:w="115" w:type="dxa"/>
              <w:bottom w:w="58" w:type="dxa"/>
              <w:right w:w="115" w:type="dxa"/>
            </w:tcMar>
          </w:tcPr>
          <w:p w:rsidR="006A2C35" w:rsidRPr="00B543CF" w:rsidRDefault="006A2C35" w:rsidP="00F84811">
            <w:pPr>
              <w:spacing w:after="0"/>
              <w:jc w:val="center"/>
              <w:rPr>
                <w:sz w:val="20"/>
              </w:rPr>
            </w:pPr>
            <w:r>
              <w:rPr>
                <w:sz w:val="20"/>
              </w:rPr>
              <w:t>N/A</w:t>
            </w:r>
          </w:p>
        </w:tc>
        <w:tc>
          <w:tcPr>
            <w:tcW w:w="952" w:type="dxa"/>
            <w:shd w:val="clear" w:color="auto" w:fill="FFFFFF" w:themeFill="background1"/>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2005</w:t>
            </w:r>
          </w:p>
        </w:tc>
        <w:tc>
          <w:tcPr>
            <w:tcW w:w="1189" w:type="dxa"/>
            <w:shd w:val="clear" w:color="auto" w:fill="FFFFFF" w:themeFill="background1"/>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201</w:t>
            </w:r>
            <w:r>
              <w:rPr>
                <w:sz w:val="20"/>
              </w:rPr>
              <w:t>7</w:t>
            </w:r>
          </w:p>
        </w:tc>
      </w:tr>
      <w:tr w:rsidR="006A2C35" w:rsidTr="000B1DD5">
        <w:trPr>
          <w:cantSplit/>
          <w:jc w:val="center"/>
        </w:trPr>
        <w:tc>
          <w:tcPr>
            <w:tcW w:w="2033" w:type="dxa"/>
            <w:shd w:val="clear" w:color="auto" w:fill="C6D9F1" w:themeFill="text2" w:themeFillTint="33"/>
            <w:tcMar>
              <w:top w:w="58" w:type="dxa"/>
              <w:left w:w="115" w:type="dxa"/>
              <w:bottom w:w="58" w:type="dxa"/>
              <w:right w:w="115" w:type="dxa"/>
            </w:tcMar>
          </w:tcPr>
          <w:p w:rsidR="006A2C35" w:rsidRDefault="006A2C35" w:rsidP="00F84811">
            <w:pPr>
              <w:spacing w:after="0"/>
              <w:jc w:val="left"/>
              <w:rPr>
                <w:sz w:val="20"/>
              </w:rPr>
            </w:pPr>
            <w:r w:rsidRPr="006525EF">
              <w:rPr>
                <w:sz w:val="20"/>
              </w:rPr>
              <w:t>Paul J. Varello</w:t>
            </w:r>
          </w:p>
          <w:p w:rsidR="000B1DD5" w:rsidRPr="006525EF" w:rsidRDefault="000B1DD5" w:rsidP="00F84811">
            <w:pPr>
              <w:spacing w:after="0"/>
              <w:jc w:val="left"/>
              <w:rPr>
                <w:sz w:val="20"/>
              </w:rPr>
            </w:pPr>
            <w:r>
              <w:rPr>
                <w:sz w:val="20"/>
              </w:rPr>
              <w:t>(</w:t>
            </w:r>
            <w:r w:rsidRPr="000B1DD5">
              <w:rPr>
                <w:i/>
                <w:sz w:val="20"/>
              </w:rPr>
              <w:t>nominee</w:t>
            </w:r>
            <w:r>
              <w:rPr>
                <w:sz w:val="20"/>
              </w:rPr>
              <w:t>)</w:t>
            </w:r>
          </w:p>
        </w:tc>
        <w:tc>
          <w:tcPr>
            <w:tcW w:w="1920" w:type="dxa"/>
            <w:shd w:val="clear" w:color="auto" w:fill="C6D9F1" w:themeFill="text2" w:themeFillTint="33"/>
            <w:tcMar>
              <w:top w:w="58" w:type="dxa"/>
              <w:left w:w="115" w:type="dxa"/>
              <w:bottom w:w="58" w:type="dxa"/>
              <w:right w:w="115" w:type="dxa"/>
            </w:tcMar>
          </w:tcPr>
          <w:p w:rsidR="006A2C35" w:rsidRDefault="006A2C35" w:rsidP="00F84811">
            <w:pPr>
              <w:spacing w:after="0"/>
              <w:jc w:val="center"/>
              <w:rPr>
                <w:sz w:val="20"/>
              </w:rPr>
            </w:pPr>
            <w:r w:rsidRPr="006525EF">
              <w:rPr>
                <w:sz w:val="20"/>
              </w:rPr>
              <w:t>Director</w:t>
            </w:r>
            <w:r>
              <w:rPr>
                <w:sz w:val="20"/>
              </w:rPr>
              <w:t>,</w:t>
            </w:r>
          </w:p>
          <w:p w:rsidR="006A2C35" w:rsidRPr="006525EF" w:rsidRDefault="006A2C35" w:rsidP="00F84811">
            <w:pPr>
              <w:spacing w:after="0"/>
              <w:jc w:val="center"/>
              <w:rPr>
                <w:sz w:val="20"/>
              </w:rPr>
            </w:pPr>
            <w:r>
              <w:rPr>
                <w:sz w:val="20"/>
              </w:rPr>
              <w:t>Chief Executive Officer</w:t>
            </w:r>
          </w:p>
        </w:tc>
        <w:tc>
          <w:tcPr>
            <w:tcW w:w="2264" w:type="dxa"/>
            <w:shd w:val="clear" w:color="auto" w:fill="C6D9F1" w:themeFill="text2" w:themeFillTint="33"/>
          </w:tcPr>
          <w:p w:rsidR="006A2C35" w:rsidRDefault="006A2C35" w:rsidP="0058742C">
            <w:pPr>
              <w:spacing w:after="0"/>
              <w:jc w:val="center"/>
              <w:rPr>
                <w:sz w:val="20"/>
              </w:rPr>
            </w:pPr>
            <w:r>
              <w:rPr>
                <w:sz w:val="20"/>
              </w:rPr>
              <w:t>—</w:t>
            </w:r>
          </w:p>
        </w:tc>
        <w:tc>
          <w:tcPr>
            <w:tcW w:w="564" w:type="dxa"/>
            <w:shd w:val="clear" w:color="auto" w:fill="C6D9F1" w:themeFill="text2" w:themeFillTint="33"/>
            <w:tcMar>
              <w:top w:w="58" w:type="dxa"/>
              <w:left w:w="115" w:type="dxa"/>
              <w:bottom w:w="58" w:type="dxa"/>
              <w:right w:w="115" w:type="dxa"/>
            </w:tcMar>
          </w:tcPr>
          <w:p w:rsidR="006A2C35" w:rsidRPr="006525EF" w:rsidRDefault="006A2C35" w:rsidP="00F84811">
            <w:pPr>
              <w:spacing w:after="0"/>
              <w:jc w:val="center"/>
              <w:rPr>
                <w:sz w:val="20"/>
              </w:rPr>
            </w:pPr>
            <w:r>
              <w:rPr>
                <w:sz w:val="20"/>
              </w:rPr>
              <w:t>72</w:t>
            </w:r>
          </w:p>
        </w:tc>
        <w:tc>
          <w:tcPr>
            <w:tcW w:w="686" w:type="dxa"/>
            <w:shd w:val="clear" w:color="auto" w:fill="C6D9F1" w:themeFill="text2" w:themeFillTint="33"/>
            <w:tcMar>
              <w:top w:w="58" w:type="dxa"/>
              <w:left w:w="115" w:type="dxa"/>
              <w:bottom w:w="58" w:type="dxa"/>
              <w:right w:w="115" w:type="dxa"/>
            </w:tcMar>
          </w:tcPr>
          <w:p w:rsidR="006A2C35" w:rsidRPr="006525EF" w:rsidRDefault="006A2C35" w:rsidP="00F84811">
            <w:pPr>
              <w:spacing w:after="0"/>
              <w:jc w:val="center"/>
              <w:rPr>
                <w:sz w:val="20"/>
              </w:rPr>
            </w:pPr>
            <w:r>
              <w:rPr>
                <w:sz w:val="20"/>
              </w:rPr>
              <w:t>N/A</w:t>
            </w:r>
          </w:p>
        </w:tc>
        <w:tc>
          <w:tcPr>
            <w:tcW w:w="952" w:type="dxa"/>
            <w:shd w:val="clear" w:color="auto" w:fill="C6D9F1" w:themeFill="text2" w:themeFillTint="33"/>
            <w:tcMar>
              <w:top w:w="58" w:type="dxa"/>
              <w:left w:w="115" w:type="dxa"/>
              <w:bottom w:w="58" w:type="dxa"/>
              <w:right w:w="115" w:type="dxa"/>
            </w:tcMar>
          </w:tcPr>
          <w:p w:rsidR="006A2C35" w:rsidRPr="006525EF" w:rsidRDefault="006A2C35" w:rsidP="00F84811">
            <w:pPr>
              <w:spacing w:after="0"/>
              <w:jc w:val="center"/>
              <w:rPr>
                <w:sz w:val="20"/>
              </w:rPr>
            </w:pPr>
            <w:r w:rsidRPr="006525EF">
              <w:rPr>
                <w:sz w:val="20"/>
              </w:rPr>
              <w:t>2014</w:t>
            </w:r>
          </w:p>
        </w:tc>
        <w:tc>
          <w:tcPr>
            <w:tcW w:w="1189" w:type="dxa"/>
            <w:shd w:val="clear" w:color="auto" w:fill="C6D9F1" w:themeFill="text2" w:themeFillTint="33"/>
            <w:tcMar>
              <w:top w:w="58" w:type="dxa"/>
              <w:left w:w="115" w:type="dxa"/>
              <w:bottom w:w="58" w:type="dxa"/>
              <w:right w:w="115" w:type="dxa"/>
            </w:tcMar>
          </w:tcPr>
          <w:p w:rsidR="006A2C35" w:rsidRPr="00B543CF" w:rsidRDefault="006A2C35" w:rsidP="00F84811">
            <w:pPr>
              <w:spacing w:after="0"/>
              <w:jc w:val="center"/>
              <w:rPr>
                <w:sz w:val="20"/>
              </w:rPr>
            </w:pPr>
            <w:r w:rsidRPr="00B543CF">
              <w:rPr>
                <w:sz w:val="20"/>
              </w:rPr>
              <w:t>201</w:t>
            </w:r>
            <w:r>
              <w:rPr>
                <w:sz w:val="20"/>
              </w:rPr>
              <w:t>7</w:t>
            </w:r>
          </w:p>
        </w:tc>
      </w:tr>
      <w:tr w:rsidR="006A2C35" w:rsidTr="000B1DD5">
        <w:trPr>
          <w:jc w:val="center"/>
        </w:trPr>
        <w:tc>
          <w:tcPr>
            <w:tcW w:w="2033" w:type="dxa"/>
            <w:tcBorders>
              <w:bottom w:val="single" w:sz="4" w:space="0" w:color="auto"/>
            </w:tcBorders>
            <w:shd w:val="clear" w:color="auto" w:fill="FFFFFF" w:themeFill="background1"/>
            <w:tcMar>
              <w:top w:w="58" w:type="dxa"/>
              <w:left w:w="115" w:type="dxa"/>
              <w:bottom w:w="115" w:type="dxa"/>
              <w:right w:w="115" w:type="dxa"/>
            </w:tcMar>
          </w:tcPr>
          <w:p w:rsidR="006A2C35" w:rsidRDefault="006A2C35" w:rsidP="000B1DD5">
            <w:pPr>
              <w:spacing w:after="0"/>
              <w:jc w:val="left"/>
              <w:rPr>
                <w:sz w:val="20"/>
              </w:rPr>
            </w:pPr>
            <w:r w:rsidRPr="00237B0C">
              <w:rPr>
                <w:sz w:val="20"/>
              </w:rPr>
              <w:t>Marian M. Davenport</w:t>
            </w:r>
          </w:p>
          <w:p w:rsidR="000B1DD5" w:rsidRPr="00237B0C" w:rsidRDefault="000B1DD5" w:rsidP="000B1DD5">
            <w:pPr>
              <w:spacing w:after="0"/>
              <w:jc w:val="left"/>
              <w:rPr>
                <w:sz w:val="20"/>
              </w:rPr>
            </w:pPr>
            <w:r>
              <w:rPr>
                <w:sz w:val="20"/>
              </w:rPr>
              <w:t>(</w:t>
            </w:r>
            <w:r w:rsidRPr="000B1DD5">
              <w:rPr>
                <w:i/>
                <w:sz w:val="20"/>
              </w:rPr>
              <w:t>continuing director</w:t>
            </w:r>
            <w:r>
              <w:rPr>
                <w:sz w:val="20"/>
              </w:rPr>
              <w:t>)</w:t>
            </w:r>
          </w:p>
        </w:tc>
        <w:tc>
          <w:tcPr>
            <w:tcW w:w="1920" w:type="dxa"/>
            <w:tcBorders>
              <w:bottom w:val="single" w:sz="4" w:space="0" w:color="auto"/>
            </w:tcBorders>
            <w:shd w:val="clear" w:color="auto" w:fill="FFFFFF" w:themeFill="background1"/>
            <w:tcMar>
              <w:top w:w="58" w:type="dxa"/>
              <w:left w:w="115" w:type="dxa"/>
              <w:bottom w:w="115" w:type="dxa"/>
              <w:right w:w="115" w:type="dxa"/>
            </w:tcMar>
          </w:tcPr>
          <w:p w:rsidR="006A2C35" w:rsidRPr="00237B0C" w:rsidRDefault="006A2C35" w:rsidP="00F84811">
            <w:pPr>
              <w:spacing w:after="0"/>
              <w:jc w:val="center"/>
              <w:rPr>
                <w:sz w:val="20"/>
              </w:rPr>
            </w:pPr>
            <w:r w:rsidRPr="00237B0C">
              <w:rPr>
                <w:sz w:val="20"/>
              </w:rPr>
              <w:t>Director</w:t>
            </w:r>
          </w:p>
        </w:tc>
        <w:tc>
          <w:tcPr>
            <w:tcW w:w="2264" w:type="dxa"/>
            <w:tcBorders>
              <w:bottom w:val="single" w:sz="4" w:space="0" w:color="auto"/>
            </w:tcBorders>
            <w:shd w:val="clear" w:color="auto" w:fill="FFFFFF" w:themeFill="background1"/>
            <w:tcMar>
              <w:bottom w:w="115" w:type="dxa"/>
            </w:tcMar>
          </w:tcPr>
          <w:p w:rsidR="006A2C35" w:rsidRDefault="006A2C35" w:rsidP="00F84811">
            <w:pPr>
              <w:spacing w:after="0"/>
              <w:jc w:val="center"/>
              <w:rPr>
                <w:sz w:val="20"/>
              </w:rPr>
            </w:pPr>
            <w:r>
              <w:rPr>
                <w:sz w:val="20"/>
              </w:rPr>
              <w:t>Compensation</w:t>
            </w:r>
          </w:p>
          <w:p w:rsidR="006A2C35" w:rsidRDefault="006A2C35" w:rsidP="00F84811">
            <w:pPr>
              <w:spacing w:after="0"/>
              <w:jc w:val="center"/>
              <w:rPr>
                <w:sz w:val="20"/>
              </w:rPr>
            </w:pPr>
            <w:r>
              <w:rPr>
                <w:sz w:val="20"/>
              </w:rPr>
              <w:t>Corporate Governance*</w:t>
            </w:r>
          </w:p>
        </w:tc>
        <w:tc>
          <w:tcPr>
            <w:tcW w:w="564" w:type="dxa"/>
            <w:tcBorders>
              <w:bottom w:val="single" w:sz="4" w:space="0" w:color="auto"/>
            </w:tcBorders>
            <w:shd w:val="clear" w:color="auto" w:fill="FFFFFF" w:themeFill="background1"/>
            <w:tcMar>
              <w:top w:w="58" w:type="dxa"/>
              <w:left w:w="115" w:type="dxa"/>
              <w:bottom w:w="115" w:type="dxa"/>
              <w:right w:w="115" w:type="dxa"/>
            </w:tcMar>
          </w:tcPr>
          <w:p w:rsidR="006A2C35" w:rsidRPr="006525EF" w:rsidRDefault="006A2C35" w:rsidP="00F84811">
            <w:pPr>
              <w:spacing w:after="0"/>
              <w:jc w:val="center"/>
              <w:rPr>
                <w:sz w:val="20"/>
              </w:rPr>
            </w:pPr>
            <w:r>
              <w:rPr>
                <w:sz w:val="20"/>
              </w:rPr>
              <w:t>62</w:t>
            </w:r>
          </w:p>
        </w:tc>
        <w:tc>
          <w:tcPr>
            <w:tcW w:w="686" w:type="dxa"/>
            <w:tcBorders>
              <w:bottom w:val="single" w:sz="4" w:space="0" w:color="auto"/>
            </w:tcBorders>
            <w:shd w:val="clear" w:color="auto" w:fill="FFFFFF" w:themeFill="background1"/>
            <w:tcMar>
              <w:top w:w="58" w:type="dxa"/>
              <w:left w:w="115" w:type="dxa"/>
              <w:bottom w:w="115" w:type="dxa"/>
              <w:right w:w="115" w:type="dxa"/>
            </w:tcMar>
          </w:tcPr>
          <w:p w:rsidR="006A2C35" w:rsidRPr="006525EF" w:rsidRDefault="006A2C35" w:rsidP="00F84811">
            <w:pPr>
              <w:spacing w:after="0"/>
              <w:jc w:val="center"/>
              <w:rPr>
                <w:sz w:val="20"/>
              </w:rPr>
            </w:pPr>
            <w:r w:rsidRPr="006525EF">
              <w:rPr>
                <w:sz w:val="20"/>
              </w:rPr>
              <w:t>I</w:t>
            </w:r>
          </w:p>
        </w:tc>
        <w:tc>
          <w:tcPr>
            <w:tcW w:w="952" w:type="dxa"/>
            <w:tcBorders>
              <w:bottom w:val="single" w:sz="4" w:space="0" w:color="auto"/>
            </w:tcBorders>
            <w:shd w:val="clear" w:color="auto" w:fill="FFFFFF" w:themeFill="background1"/>
            <w:tcMar>
              <w:top w:w="58" w:type="dxa"/>
              <w:left w:w="115" w:type="dxa"/>
              <w:bottom w:w="115" w:type="dxa"/>
              <w:right w:w="115" w:type="dxa"/>
            </w:tcMar>
          </w:tcPr>
          <w:p w:rsidR="006A2C35" w:rsidRPr="00B543CF" w:rsidRDefault="006A2C35" w:rsidP="00F84811">
            <w:pPr>
              <w:spacing w:after="0"/>
              <w:jc w:val="center"/>
              <w:rPr>
                <w:sz w:val="20"/>
              </w:rPr>
            </w:pPr>
            <w:r w:rsidRPr="00B543CF">
              <w:rPr>
                <w:sz w:val="20"/>
              </w:rPr>
              <w:t>2014</w:t>
            </w:r>
          </w:p>
        </w:tc>
        <w:tc>
          <w:tcPr>
            <w:tcW w:w="1189" w:type="dxa"/>
            <w:tcBorders>
              <w:bottom w:val="single" w:sz="4" w:space="0" w:color="auto"/>
            </w:tcBorders>
            <w:shd w:val="clear" w:color="auto" w:fill="FFFFFF" w:themeFill="background1"/>
            <w:tcMar>
              <w:top w:w="58" w:type="dxa"/>
              <w:left w:w="115" w:type="dxa"/>
              <w:bottom w:w="115" w:type="dxa"/>
              <w:right w:w="115" w:type="dxa"/>
            </w:tcMar>
          </w:tcPr>
          <w:p w:rsidR="006A2C35" w:rsidRPr="00B543CF" w:rsidRDefault="006A2C35" w:rsidP="00F84811">
            <w:pPr>
              <w:spacing w:after="0"/>
              <w:jc w:val="center"/>
              <w:rPr>
                <w:sz w:val="20"/>
              </w:rPr>
            </w:pPr>
            <w:r w:rsidRPr="00B543CF">
              <w:rPr>
                <w:sz w:val="20"/>
              </w:rPr>
              <w:t>201</w:t>
            </w:r>
            <w:r w:rsidRPr="006525EF">
              <w:rPr>
                <w:sz w:val="20"/>
              </w:rPr>
              <w:t>7</w:t>
            </w:r>
          </w:p>
        </w:tc>
      </w:tr>
    </w:tbl>
    <w:p w:rsidR="00837182" w:rsidRDefault="00837182" w:rsidP="002719C8">
      <w:pPr>
        <w:tabs>
          <w:tab w:val="left" w:pos="360"/>
        </w:tabs>
        <w:spacing w:before="100" w:after="60"/>
        <w:ind w:left="360" w:hanging="360"/>
        <w:jc w:val="left"/>
        <w:rPr>
          <w:sz w:val="20"/>
        </w:rPr>
      </w:pPr>
      <w:r w:rsidRPr="00837182">
        <w:rPr>
          <w:sz w:val="20"/>
        </w:rPr>
        <w:t>(1)</w:t>
      </w:r>
      <w:r w:rsidRPr="00837182">
        <w:rPr>
          <w:sz w:val="20"/>
        </w:rPr>
        <w:tab/>
        <w:t>The full names of the committees are</w:t>
      </w:r>
      <w:r w:rsidR="00B4320B">
        <w:rPr>
          <w:sz w:val="20"/>
        </w:rPr>
        <w:t xml:space="preserve"> t</w:t>
      </w:r>
      <w:r w:rsidRPr="00837182">
        <w:rPr>
          <w:sz w:val="20"/>
        </w:rPr>
        <w:t xml:space="preserve">he Audit Committee, Compensation Committee, and Corporate Governance &amp; Nominating Committee.  </w:t>
      </w:r>
    </w:p>
    <w:p w:rsidR="00837182" w:rsidRPr="00837182" w:rsidRDefault="00837182" w:rsidP="00E9438F">
      <w:pPr>
        <w:tabs>
          <w:tab w:val="left" w:pos="360"/>
        </w:tabs>
        <w:ind w:left="360" w:hanging="360"/>
        <w:rPr>
          <w:sz w:val="20"/>
        </w:rPr>
      </w:pPr>
      <w:r w:rsidRPr="00837182">
        <w:rPr>
          <w:sz w:val="20"/>
        </w:rPr>
        <w:t>*</w:t>
      </w:r>
      <w:r w:rsidRPr="00837182">
        <w:rPr>
          <w:sz w:val="20"/>
        </w:rPr>
        <w:tab/>
        <w:t>An asterisk indicates that the director is the Chair of the committee.</w:t>
      </w:r>
    </w:p>
    <w:p w:rsidR="0092320A" w:rsidRPr="00FC21A3" w:rsidRDefault="00FC21A3" w:rsidP="00136567">
      <w:pPr>
        <w:pStyle w:val="002Proxy"/>
        <w:keepNext/>
        <w:spacing w:before="240"/>
      </w:pPr>
      <w:bookmarkStart w:id="35" w:name="_Toc445739554"/>
      <w:r w:rsidRPr="00FC21A3">
        <w:t xml:space="preserve">Background </w:t>
      </w:r>
      <w:r w:rsidR="00C75C71">
        <w:t>&amp;</w:t>
      </w:r>
      <w:r w:rsidRPr="00FC21A3">
        <w:t xml:space="preserve"> Skills of the </w:t>
      </w:r>
      <w:r w:rsidR="00693E94">
        <w:t xml:space="preserve">Nominees &amp; </w:t>
      </w:r>
      <w:r w:rsidR="00351FD3">
        <w:t xml:space="preserve">Continuing </w:t>
      </w:r>
      <w:r w:rsidRPr="00FC21A3">
        <w:t>Director</w:t>
      </w:r>
      <w:bookmarkEnd w:id="35"/>
    </w:p>
    <w:p w:rsidR="00952549" w:rsidRPr="00FD7D56" w:rsidRDefault="00952549" w:rsidP="00952549">
      <w:pPr>
        <w:keepNext/>
        <w:spacing w:after="0"/>
        <w:jc w:val="left"/>
      </w:pPr>
      <w:r w:rsidRPr="00F84811">
        <w:rPr>
          <w:b/>
          <w:i/>
        </w:rPr>
        <w:t>Maarten D. Hemsley</w:t>
      </w:r>
      <w:r w:rsidR="00FD7D56">
        <w:t xml:space="preserve"> (</w:t>
      </w:r>
      <w:r w:rsidR="00FD7D56" w:rsidRPr="00332D7F">
        <w:rPr>
          <w:i/>
        </w:rPr>
        <w:t>nominee</w:t>
      </w:r>
      <w:r w:rsidR="00FD7D56">
        <w:t>)</w:t>
      </w:r>
    </w:p>
    <w:p w:rsidR="00952549" w:rsidRDefault="00952549" w:rsidP="00952549">
      <w:pPr>
        <w:keepNext/>
        <w:spacing w:after="0"/>
        <w:ind w:left="270"/>
        <w:jc w:val="left"/>
      </w:pPr>
      <w:r>
        <w:t>Founder, Chairman and President of New England Center for Arts &amp; Technology, Inc. (NECAT),</w:t>
      </w:r>
    </w:p>
    <w:p w:rsidR="00952549" w:rsidRDefault="00952549" w:rsidP="00952549">
      <w:pPr>
        <w:keepNext/>
        <w:ind w:left="274"/>
        <w:jc w:val="left"/>
      </w:pPr>
      <w:r>
        <w:t xml:space="preserve">a </w:t>
      </w:r>
      <w:r w:rsidRPr="003F7F96">
        <w:t>career-directed educational non-profit serving resource-limited adults and youth in Boston</w:t>
      </w:r>
      <w:r>
        <w:t xml:space="preserve">, Massachusetts.  </w:t>
      </w:r>
    </w:p>
    <w:p w:rsidR="00952549" w:rsidRDefault="00952549" w:rsidP="00952549">
      <w:pPr>
        <w:keepNext/>
        <w:jc w:val="left"/>
      </w:pPr>
      <w:r>
        <w:t xml:space="preserve">Mr. Hemsley founded NECAT in 2010.  Before that, he was the Company's President and Chief Operating Officer from 1988 until 2001, and its Chief Financial Officer from 1998 until 2007.  From 2001 until March 2012, when he retired, Mr. Hemsley was a consultant to, or employee of, Harwood Capital LLP (Harwood) (formerly JO Hambro Capital Management Limited) an investment management company based in the United Kingdom.  During that period, Mr. Hemsley served as a Fund Manager, Senior Fund Manager and Senior Advisor to several investment funds managed by Harwood.  </w:t>
      </w:r>
    </w:p>
    <w:p w:rsidR="00952549" w:rsidRDefault="00952549" w:rsidP="00952549">
      <w:pPr>
        <w:widowControl/>
        <w:jc w:val="left"/>
      </w:pPr>
      <w:r w:rsidRPr="00F84811">
        <w:rPr>
          <w:i/>
        </w:rPr>
        <w:t>Other Directorships</w:t>
      </w:r>
      <w:r>
        <w:rPr>
          <w:i/>
        </w:rPr>
        <w:t>.</w:t>
      </w:r>
      <w:r>
        <w:t xml:space="preserve">  </w:t>
      </w:r>
      <w:r w:rsidR="007C4193" w:rsidRPr="007C4193">
        <w:t xml:space="preserve">From 2003 until February 2016, </w:t>
      </w:r>
      <w:r>
        <w:t xml:space="preserve">Mr. Hemsley </w:t>
      </w:r>
      <w:r w:rsidR="007C4193">
        <w:t>was</w:t>
      </w:r>
      <w:r>
        <w:t xml:space="preserve"> a director of Sevcon, Inc., a public company that manufactures electronic controls for electric vehicles and other equipment, and of a number of privately-held companies in the United Kingdom.  </w:t>
      </w:r>
    </w:p>
    <w:p w:rsidR="00952549" w:rsidRPr="002271BF" w:rsidRDefault="00952549" w:rsidP="00952549">
      <w:pPr>
        <w:jc w:val="left"/>
      </w:pPr>
      <w:r w:rsidRPr="00F84811">
        <w:rPr>
          <w:i/>
        </w:rPr>
        <w:t xml:space="preserve">Experience, Qualifications, Attributes </w:t>
      </w:r>
      <w:r>
        <w:rPr>
          <w:i/>
        </w:rPr>
        <w:t>&amp;</w:t>
      </w:r>
      <w:r w:rsidRPr="00F84811">
        <w:rPr>
          <w:i/>
        </w:rPr>
        <w:t xml:space="preserve"> Skills</w:t>
      </w:r>
      <w:r>
        <w:rPr>
          <w:i/>
        </w:rPr>
        <w:t>.</w:t>
      </w:r>
      <w:r w:rsidRPr="002271BF">
        <w:t xml:space="preserve">  Mr. Hemsley has extensive financial experience and managerial skills gained over many years</w:t>
      </w:r>
      <w:r>
        <w:t>,</w:t>
      </w:r>
      <w:r w:rsidRPr="002271BF">
        <w:t xml:space="preserve"> </w:t>
      </w:r>
      <w:r>
        <w:t xml:space="preserve">including </w:t>
      </w:r>
      <w:r w:rsidRPr="002271BF">
        <w:t xml:space="preserve">as chief financial officer of the Company for </w:t>
      </w:r>
      <w:r w:rsidR="007B1072">
        <w:t xml:space="preserve">nine </w:t>
      </w:r>
      <w:r w:rsidRPr="002271BF">
        <w:t xml:space="preserve">years and as its President for </w:t>
      </w:r>
      <w:r w:rsidR="007B1072">
        <w:t>thirteen</w:t>
      </w:r>
      <w:r w:rsidRPr="002271BF">
        <w:t xml:space="preserve"> years; through his recent position managing investment funds; and his responsibilities during his career as chief financial officer of several medium-sized public and private companies in a variety of business sectors in the U.S. and Europe.  His knowledge of the Company derived from more than twenty</w:t>
      </w:r>
      <w:r w:rsidR="007C4193">
        <w:t>-five</w:t>
      </w:r>
      <w:r w:rsidRPr="002271BF">
        <w:t xml:space="preserve"> years' service, as well as his analytical skills honed as a fund manager in making investment decisions and overseeing the management of a wide range of portfolio companies, enable him to contribute to the Board's oversight of the Company's business, its financial risks, its executive compensation arrangements, the risks inherent in its acquisition program, and in post-acquisition integration issues.  Mr. Hemsley is a Fellow of the Institute of Chartered Accountants in England and Wales.  </w:t>
      </w:r>
    </w:p>
    <w:p w:rsidR="00952549" w:rsidRPr="00FD7D56" w:rsidRDefault="00952549" w:rsidP="00952549">
      <w:pPr>
        <w:spacing w:after="0"/>
      </w:pPr>
      <w:r w:rsidRPr="00F84811">
        <w:rPr>
          <w:b/>
          <w:i/>
        </w:rPr>
        <w:lastRenderedPageBreak/>
        <w:t>Charles R. Patton</w:t>
      </w:r>
      <w:r w:rsidR="00FD7D56">
        <w:t xml:space="preserve"> (</w:t>
      </w:r>
      <w:r w:rsidR="00FD7D56" w:rsidRPr="00332D7F">
        <w:rPr>
          <w:i/>
        </w:rPr>
        <w:t>nominee</w:t>
      </w:r>
      <w:r w:rsidR="00FD7D56">
        <w:t>)</w:t>
      </w:r>
    </w:p>
    <w:p w:rsidR="00952549" w:rsidRDefault="00952549" w:rsidP="00952549">
      <w:pPr>
        <w:spacing w:after="0"/>
        <w:ind w:left="270"/>
        <w:jc w:val="left"/>
      </w:pPr>
      <w:r w:rsidRPr="00882F3D">
        <w:t>President &amp; Chief Operating Officer of Appalachian Power Company</w:t>
      </w:r>
      <w:r>
        <w:t>,</w:t>
      </w:r>
    </w:p>
    <w:p w:rsidR="00952549" w:rsidRDefault="00952549" w:rsidP="00952549">
      <w:pPr>
        <w:ind w:left="274"/>
        <w:jc w:val="left"/>
      </w:pPr>
      <w:r>
        <w:t xml:space="preserve">a company serving </w:t>
      </w:r>
      <w:r w:rsidRPr="00882F3D">
        <w:t>approximately one million customers in West Virginia, Virginia and Tennessee</w:t>
      </w:r>
      <w:r>
        <w:t>.</w:t>
      </w:r>
    </w:p>
    <w:p w:rsidR="00952549" w:rsidRDefault="00952549" w:rsidP="00952549">
      <w:pPr>
        <w:widowControl/>
        <w:jc w:val="left"/>
      </w:pPr>
      <w:r>
        <w:t xml:space="preserve">Mr. Patton has served in the above capacity since June 2010 with </w:t>
      </w:r>
      <w:r w:rsidRPr="00882F3D">
        <w:t xml:space="preserve">responsibility for distribution operations and a wide range of customer and regulatory relationships.  Appalachian Power Company is a unit of American Electric Power Company, Inc. (AEP), one of the largest publicly-traded utilities in the United States.  From June 2008 to June 2010, Mr. Patton served as Senior Vice President of Regulatory Policy and subsequently Executive Vice President of AEP's Western Utilities where he was responsible for oversight of utilities in Texas, Louisiana, Arkansas and Oklahoma.  Prior to that, from May 2004 to June 2008, Mr. Patton was President and Chief Operating Officer of AEP Texas, and held various other executive roles, with responsibility for external affairs in Texas and in the Southwestern region of AEP.  Before joining AEP in December 1995, Mr. Patton spent nearly 11 years in the energy and telecommunications business with Houston Lighting &amp; Power Company.  </w:t>
      </w:r>
    </w:p>
    <w:p w:rsidR="00952549" w:rsidRDefault="00952549" w:rsidP="00952549">
      <w:r w:rsidRPr="00F84811">
        <w:rPr>
          <w:i/>
        </w:rPr>
        <w:t>Other Directorships</w:t>
      </w:r>
      <w:r>
        <w:rPr>
          <w:i/>
        </w:rPr>
        <w:t>.</w:t>
      </w:r>
      <w:r>
        <w:t xml:space="preserve">  </w:t>
      </w:r>
      <w:r w:rsidRPr="00132E7C">
        <w:t xml:space="preserve">Mr. Patton serves as a director of </w:t>
      </w:r>
      <w:r>
        <w:t xml:space="preserve">the </w:t>
      </w:r>
      <w:r w:rsidRPr="00132E7C">
        <w:t>Richmond Federal Reserve Bank.</w:t>
      </w:r>
      <w:r>
        <w:t xml:space="preserve">  </w:t>
      </w:r>
    </w:p>
    <w:p w:rsidR="00952549" w:rsidRDefault="00952549" w:rsidP="00952549">
      <w:pPr>
        <w:jc w:val="left"/>
      </w:pPr>
      <w:r w:rsidRPr="00F84811">
        <w:rPr>
          <w:i/>
        </w:rPr>
        <w:t xml:space="preserve">Experience, Qualifications, Attributes </w:t>
      </w:r>
      <w:r>
        <w:rPr>
          <w:i/>
        </w:rPr>
        <w:t>&amp;</w:t>
      </w:r>
      <w:r w:rsidRPr="00F84811">
        <w:rPr>
          <w:i/>
        </w:rPr>
        <w:t xml:space="preserve"> Skills</w:t>
      </w:r>
      <w:r>
        <w:rPr>
          <w:i/>
        </w:rPr>
        <w:t>.</w:t>
      </w:r>
      <w:r>
        <w:rPr>
          <w:rStyle w:val="002ProxyChar"/>
          <w:b w:val="0"/>
        </w:rPr>
        <w:t xml:space="preserve">  </w:t>
      </w:r>
      <w:r>
        <w:t xml:space="preserve">As evidenced by his biographical data, above, Mr. Patton has extensive experience in the utilities industry combined with high-level management experience, both of which benefit the Board in its deliberations by bringing a different perspective than any other director.  </w:t>
      </w:r>
      <w:r w:rsidRPr="00882F3D">
        <w:t>Mr. Patton received a bachelor’s degree (</w:t>
      </w:r>
      <w:r w:rsidRPr="00E12E64">
        <w:rPr>
          <w:i/>
        </w:rPr>
        <w:t>cum laude</w:t>
      </w:r>
      <w:r w:rsidRPr="00882F3D">
        <w:t xml:space="preserve">) from Bowdoin College in Brunswick, Maine, and a master’s degree from the LBJ School of Public Policy at the University of Texas in Austin.  </w:t>
      </w:r>
    </w:p>
    <w:p w:rsidR="00B65A60" w:rsidRDefault="00B65A60" w:rsidP="00136567">
      <w:pPr>
        <w:keepNext/>
        <w:spacing w:after="0"/>
        <w:jc w:val="left"/>
      </w:pPr>
      <w:r w:rsidRPr="00F84811">
        <w:rPr>
          <w:b/>
          <w:i/>
        </w:rPr>
        <w:t>Richard O. Schaum</w:t>
      </w:r>
      <w:r>
        <w:t xml:space="preserve"> (</w:t>
      </w:r>
      <w:r w:rsidRPr="00332D7F">
        <w:rPr>
          <w:i/>
        </w:rPr>
        <w:t>nominee</w:t>
      </w:r>
      <w:r>
        <w:t>)</w:t>
      </w:r>
    </w:p>
    <w:p w:rsidR="00B65A60" w:rsidRDefault="00B65A60" w:rsidP="00136567">
      <w:pPr>
        <w:keepNext/>
        <w:spacing w:after="0"/>
        <w:ind w:left="270"/>
        <w:jc w:val="left"/>
      </w:pPr>
      <w:r>
        <w:t>General Manager, 3rd Horizon Associates LLC,</w:t>
      </w:r>
    </w:p>
    <w:p w:rsidR="00B65A60" w:rsidRDefault="00B65A60" w:rsidP="00136567">
      <w:pPr>
        <w:keepNext/>
        <w:ind w:left="274"/>
        <w:jc w:val="left"/>
      </w:pPr>
      <w:r>
        <w:t>a technology assessment and development company.</w:t>
      </w:r>
    </w:p>
    <w:p w:rsidR="00B65A60" w:rsidRDefault="00B65A60" w:rsidP="00136567">
      <w:pPr>
        <w:keepNext/>
        <w:widowControl/>
        <w:jc w:val="left"/>
      </w:pPr>
      <w:r>
        <w:t xml:space="preserve">Mr. Schaum has served in the above capacity since May 2003.  From October 2003 until June 2005, he was </w:t>
      </w:r>
      <w:r w:rsidR="007B1072">
        <w:t xml:space="preserve">also </w:t>
      </w:r>
      <w:r>
        <w:t xml:space="preserve">Vice President and General Manager of Vehicle Systems for WaveCrest Laboratories, Inc. and led its vehicle systems development group.  Prior to that, for more than thirty years, he was with DaimlerChrysler Corporation, and its predecessor, Chrysler Corporation, most recently, from January 2000 until his retirement in March 2003, as Executive Vice President, Product Development.  </w:t>
      </w:r>
    </w:p>
    <w:p w:rsidR="00B65A60" w:rsidRDefault="00B65A60" w:rsidP="00FD1504">
      <w:pPr>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rsidRPr="00440DCE">
        <w:rPr>
          <w:rStyle w:val="002ProxyChar"/>
          <w:b w:val="0"/>
        </w:rPr>
        <w:t xml:space="preserve">Mr. Schaum </w:t>
      </w:r>
      <w:r>
        <w:t xml:space="preserve">has extensive executive and management experience at all levels in a Fortune 100 company, and knowledge of, and interest in, corporate governance matters, gained on the board of a Fortune 500 company.  In addition, his technical background and his operating experience at all levels of management contribute to the breadth and depth of the Board's deliberations.  Mr. Schaum is a fellow of the Society of Automotive Engineers and served as its President from 2007 to 2008.  He earned a B.S. in Mechanical Engineering from Drexel University and an M.S. in Mechanical Engineering from the University of Michigan.  </w:t>
      </w:r>
    </w:p>
    <w:p w:rsidR="00B65A60" w:rsidRDefault="00B65A60" w:rsidP="00FD1504">
      <w:pPr>
        <w:jc w:val="left"/>
      </w:pPr>
      <w:r w:rsidRPr="00F84811">
        <w:rPr>
          <w:i/>
        </w:rPr>
        <w:t>Other Directorships</w:t>
      </w:r>
      <w:r w:rsidR="00F84811">
        <w:t>.</w:t>
      </w:r>
      <w:r>
        <w:t xml:space="preserve">  Mr. Schaum is currently a director of BorgWarner Inc., a publicly-traded company that manufactures and sells technologies for engines and drive trains, and Gentex Corporation, a publicly-traded company that manufactures and sells automotive electro-chromic dimming mirrors, windows, camera-based driver assist systems, and commercial fire protection products.  </w:t>
      </w:r>
    </w:p>
    <w:p w:rsidR="00B65A60" w:rsidRDefault="00B65A60" w:rsidP="00F703F7">
      <w:pPr>
        <w:keepNext/>
        <w:keepLines/>
        <w:spacing w:after="0"/>
        <w:jc w:val="left"/>
      </w:pPr>
      <w:r w:rsidRPr="00F84811">
        <w:rPr>
          <w:b/>
          <w:i/>
        </w:rPr>
        <w:lastRenderedPageBreak/>
        <w:t>Milton L. Scott</w:t>
      </w:r>
      <w:r w:rsidRPr="00B65A60">
        <w:t xml:space="preserve"> (</w:t>
      </w:r>
      <w:r w:rsidRPr="00332D7F">
        <w:rPr>
          <w:i/>
        </w:rPr>
        <w:t>nominee</w:t>
      </w:r>
      <w:r w:rsidRPr="00B65A60">
        <w:t>)</w:t>
      </w:r>
    </w:p>
    <w:p w:rsidR="00B65A60" w:rsidRDefault="00B65A60" w:rsidP="00F703F7">
      <w:pPr>
        <w:keepNext/>
        <w:keepLines/>
        <w:spacing w:after="0"/>
        <w:ind w:left="270"/>
        <w:jc w:val="left"/>
      </w:pPr>
      <w:r>
        <w:t>Chairman and Chief Executive Officer of the Tagos Group, LLC</w:t>
      </w:r>
      <w:r w:rsidR="00ED6BBA">
        <w:t xml:space="preserve"> (Tagos)</w:t>
      </w:r>
      <w:r>
        <w:t>,</w:t>
      </w:r>
    </w:p>
    <w:p w:rsidR="00B65A60" w:rsidRDefault="00B65A60" w:rsidP="00F703F7">
      <w:pPr>
        <w:keepNext/>
        <w:keepLines/>
        <w:ind w:left="274"/>
        <w:jc w:val="left"/>
      </w:pPr>
      <w:r>
        <w:t xml:space="preserve">a company that provides expertise in </w:t>
      </w:r>
      <w:r w:rsidRPr="000C4A78">
        <w:t xml:space="preserve">Supply Chain Advisory Services and </w:t>
      </w:r>
      <w:r w:rsidR="00977652">
        <w:t>Anti-Corrosion Technology</w:t>
      </w:r>
      <w:r w:rsidR="00C22AEB">
        <w:t>.  It also holds an investment in cement technology</w:t>
      </w:r>
      <w:r>
        <w:t xml:space="preserve">.  </w:t>
      </w:r>
    </w:p>
    <w:p w:rsidR="00B65A60" w:rsidRDefault="008110C7" w:rsidP="00136567">
      <w:pPr>
        <w:keepNext/>
        <w:jc w:val="left"/>
      </w:pPr>
      <w:r>
        <w:t>Mr. Scot</w:t>
      </w:r>
      <w:r w:rsidR="002719C8">
        <w:t>t</w:t>
      </w:r>
      <w:r>
        <w:t xml:space="preserve"> was elected Chairman of the Board of Directors in March 2015</w:t>
      </w:r>
      <w:r w:rsidR="006E6CE1">
        <w:t>, and he remains Chair of the Audit Committee</w:t>
      </w:r>
      <w:r>
        <w:t xml:space="preserve">.  He </w:t>
      </w:r>
      <w:r w:rsidR="00B65A60">
        <w:t xml:space="preserve">has served </w:t>
      </w:r>
      <w:r w:rsidR="006E6CE1">
        <w:t xml:space="preserve">as Chairman and Chief Executive Officer of Tagos </w:t>
      </w:r>
      <w:r w:rsidR="00B65A60">
        <w:t xml:space="preserve">since </w:t>
      </w:r>
      <w:r w:rsidR="00977652">
        <w:t>April 2007</w:t>
      </w:r>
      <w:r w:rsidR="00B65A60">
        <w:t xml:space="preserve">.  </w:t>
      </w:r>
      <w:r w:rsidR="00413B39" w:rsidRPr="00413B39">
        <w:t xml:space="preserve">From October 2012 to November 2013, Mr. Scott was also the Chairman and Chief Executive Officer of CorrLine International, LLC (CorrLine), a private company that manufactured </w:t>
      </w:r>
      <w:proofErr w:type="spellStart"/>
      <w:r w:rsidR="00413B39" w:rsidRPr="00413B39">
        <w:t>CorrX</w:t>
      </w:r>
      <w:proofErr w:type="spellEnd"/>
      <w:r w:rsidR="00413B39" w:rsidRPr="00413B39">
        <w:t>, a surface decontamination product that treats and destroys the primary cause of premature coating failures.  CorrLine was placed into involuntary Chapter 7 bankruptcy in August 2014</w:t>
      </w:r>
      <w:r w:rsidR="00413B39">
        <w:t>,</w:t>
      </w:r>
      <w:r w:rsidR="00413B39" w:rsidRPr="00413B39">
        <w:t xml:space="preserve"> and in October 2014, Tagos purchased the assets of CorrLine and placed them in a subsidiary of Tagos, TGS Solutions, LLC, of which Mr. Scott is Chairman and Chief Executive Officer.</w:t>
      </w:r>
      <w:r w:rsidR="00413B39">
        <w:t xml:space="preserve">  Mr. Scott</w:t>
      </w:r>
      <w:r w:rsidR="00B65A60">
        <w:t xml:space="preserve"> was previously associated with Complete Energy Holdings, LLC, a company of which he was Managing Director until January 2006, and which he co-founded in January 2004 to acquire, own and operate power generation assets in the United States.  From March 2003 to January 2004, Mr. Scott was a Managing Director of The StoneCap Group, an entity formed to acquire, own and operate power generation assets.  From October 1999 to November 2002, Mr. Scott served as Executive Vice President and Chief Administrative Officer at Dynegy Inc., a public company in the business of power distribution, marketing and trading of gas, power and other commodities, midstream services and electric distribution.  From July 1977 to October 1999, Mr. Scott was a partner with the Houston office of Arthur Andersen LLP, a public accounting firm, where from 1996 to 1999, he served as partner in charge of the Southwest Region Technology and Communications practice.  </w:t>
      </w:r>
    </w:p>
    <w:p w:rsidR="00B65A60" w:rsidRDefault="00B65A60" w:rsidP="00AD2DE8">
      <w:pPr>
        <w:widowControl/>
        <w:jc w:val="left"/>
      </w:pPr>
      <w:r w:rsidRPr="00F84811">
        <w:rPr>
          <w:i/>
        </w:rPr>
        <w:t>Other Directorships</w:t>
      </w:r>
      <w:r w:rsidR="00F84811">
        <w:t>.</w:t>
      </w:r>
      <w:r>
        <w:t xml:space="preserve">  Mr. Scott is Chairman and Chief Executive Officer of </w:t>
      </w:r>
      <w:r w:rsidR="00977652">
        <w:t xml:space="preserve">TGS Solutions, LLC, </w:t>
      </w:r>
      <w:r>
        <w:t xml:space="preserve">a private company that manufactures Corrx, a surface decontamination product that treats and destroys the primary cause of premature coating failures.  </w:t>
      </w:r>
      <w:r w:rsidR="0063768B">
        <w:t xml:space="preserve">He is also Chairman of </w:t>
      </w:r>
      <w:proofErr w:type="spellStart"/>
      <w:r w:rsidR="0063768B" w:rsidRPr="0063768B">
        <w:t>Inea</w:t>
      </w:r>
      <w:proofErr w:type="spellEnd"/>
      <w:r w:rsidR="0063768B" w:rsidRPr="0063768B">
        <w:t xml:space="preserve"> International, Ltd.</w:t>
      </w:r>
      <w:r w:rsidR="0044418B">
        <w:t xml:space="preserve"> (</w:t>
      </w:r>
      <w:proofErr w:type="spellStart"/>
      <w:r w:rsidR="0044418B">
        <w:t>Inea</w:t>
      </w:r>
      <w:proofErr w:type="spellEnd"/>
      <w:r w:rsidR="0044418B">
        <w:t>)</w:t>
      </w:r>
      <w:r w:rsidR="0063768B">
        <w:t xml:space="preserve">, a private company </w:t>
      </w:r>
      <w:r w:rsidR="00663861">
        <w:t xml:space="preserve">that </w:t>
      </w:r>
      <w:r w:rsidR="0063768B">
        <w:t xml:space="preserve">through its wholly-owned subsidiary, </w:t>
      </w:r>
      <w:proofErr w:type="spellStart"/>
      <w:r w:rsidR="0063768B" w:rsidRPr="008A0D6F">
        <w:t>VHSC</w:t>
      </w:r>
      <w:proofErr w:type="spellEnd"/>
      <w:r w:rsidR="0063768B">
        <w:t xml:space="preserve"> Cement, LLC, has developed a technology that enables the creation of a product that competes with Portland Cement.  Tagos has an equity investment in </w:t>
      </w:r>
      <w:proofErr w:type="spellStart"/>
      <w:r w:rsidR="0063768B">
        <w:t>Inea</w:t>
      </w:r>
      <w:proofErr w:type="spellEnd"/>
      <w:r w:rsidR="0063768B">
        <w:t>.</w:t>
      </w:r>
    </w:p>
    <w:p w:rsidR="00B65A60" w:rsidRPr="00A40D46" w:rsidRDefault="00B65A60" w:rsidP="00136567">
      <w:pPr>
        <w:widowControl/>
        <w:jc w:val="left"/>
        <w:rPr>
          <w:b/>
        </w:rPr>
      </w:pPr>
      <w:r w:rsidRPr="00F84811">
        <w:rPr>
          <w:i/>
        </w:rPr>
        <w:t>Past Directorships</w:t>
      </w:r>
      <w:r w:rsidR="00F84811">
        <w:rPr>
          <w:b/>
          <w:i/>
        </w:rPr>
        <w:t>.</w:t>
      </w:r>
      <w:r w:rsidRPr="00A40D46">
        <w:t xml:space="preserve">  </w:t>
      </w:r>
      <w:r>
        <w:t>Mr. Scott was a director of W-H Energy Services, Inc., which at the time was a publicly-traded company in the oilfield services industry</w:t>
      </w:r>
    </w:p>
    <w:p w:rsidR="00B65A60" w:rsidRDefault="00B65A60" w:rsidP="00FD1504">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Mr. Scott </w:t>
      </w:r>
      <w:r>
        <w:t xml:space="preserve">has many years of experience as an audit partner at a large public accounting firm; leadership, managerial and corporate governance skills acquired during his tenure as a senior executive at a Fortune 500 company; and entrepreneurial skills developed through the founding of several companies in the energy service </w:t>
      </w:r>
      <w:r w:rsidR="0013127E">
        <w:t xml:space="preserve">and technology </w:t>
      </w:r>
      <w:r>
        <w:t>sectors.  He has also served as a chief executive officer of private companies and as a lead director at a public company.  Mr. Scott's background and experience enable him to bring to the Board and its deliberations a broad range and combination of valuable insights as well as leadership skills, particularly in his role as Chairman of the Board</w:t>
      </w:r>
      <w:r w:rsidR="002719C8">
        <w:t xml:space="preserve"> and Chair of the</w:t>
      </w:r>
      <w:r>
        <w:t xml:space="preserve"> Audit Committee.  </w:t>
      </w:r>
    </w:p>
    <w:p w:rsidR="00B65A60" w:rsidRDefault="00B65A60" w:rsidP="003359BC">
      <w:pPr>
        <w:spacing w:after="0"/>
        <w:jc w:val="left"/>
      </w:pPr>
      <w:r w:rsidRPr="00F84811">
        <w:rPr>
          <w:b/>
          <w:i/>
        </w:rPr>
        <w:t>Paul J. Varello</w:t>
      </w:r>
      <w:r>
        <w:t xml:space="preserve"> (</w:t>
      </w:r>
      <w:r w:rsidRPr="00332D7F">
        <w:rPr>
          <w:i/>
        </w:rPr>
        <w:t>nominee</w:t>
      </w:r>
      <w:r>
        <w:t>)</w:t>
      </w:r>
      <w:r w:rsidRPr="00DD1EDA">
        <w:t xml:space="preserve">  </w:t>
      </w:r>
    </w:p>
    <w:p w:rsidR="008C38A7" w:rsidRDefault="008C38A7" w:rsidP="003359BC">
      <w:pPr>
        <w:ind w:left="274"/>
        <w:jc w:val="left"/>
      </w:pPr>
      <w:r>
        <w:t>Chief Executive Officer of the Company.</w:t>
      </w:r>
    </w:p>
    <w:p w:rsidR="00B65A60" w:rsidRDefault="00FD1504" w:rsidP="008C38A7">
      <w:pPr>
        <w:jc w:val="left"/>
      </w:pPr>
      <w:r>
        <w:t xml:space="preserve">Mr. Varello </w:t>
      </w:r>
      <w:r w:rsidR="008C38A7" w:rsidRPr="004722DE">
        <w:t xml:space="preserve">is the </w:t>
      </w:r>
      <w:r w:rsidR="00472592" w:rsidRPr="004722DE">
        <w:t xml:space="preserve">Founder and President of </w:t>
      </w:r>
      <w:r w:rsidR="00472592">
        <w:t xml:space="preserve">Commonwealth Projects, LLC, a project development company specializing in </w:t>
      </w:r>
      <w:r w:rsidR="001032AF">
        <w:t>the development of a liquefied natural gas (</w:t>
      </w:r>
      <w:r w:rsidR="00472592">
        <w:t>LNG</w:t>
      </w:r>
      <w:r w:rsidR="001032AF">
        <w:t>)</w:t>
      </w:r>
      <w:r w:rsidR="00472592">
        <w:t xml:space="preserve"> </w:t>
      </w:r>
      <w:r w:rsidR="001032AF">
        <w:t xml:space="preserve">facility </w:t>
      </w:r>
      <w:r w:rsidR="00472592">
        <w:t xml:space="preserve">in </w:t>
      </w:r>
      <w:r w:rsidR="001032AF">
        <w:t>Cameron, Louisiana</w:t>
      </w:r>
      <w:r w:rsidR="00472592">
        <w:t>.</w:t>
      </w:r>
      <w:r w:rsidR="008C38A7">
        <w:t xml:space="preserve">  </w:t>
      </w:r>
      <w:r w:rsidR="002B5D3B">
        <w:t>He is the f</w:t>
      </w:r>
      <w:r w:rsidR="002166EA">
        <w:t xml:space="preserve">ormer </w:t>
      </w:r>
      <w:r w:rsidR="00B65A60">
        <w:t>Founder and Chairman of Commonwealth Engineering &amp; Construction, LLC (CEC)</w:t>
      </w:r>
      <w:r>
        <w:t>,</w:t>
      </w:r>
      <w:r w:rsidR="00783C08">
        <w:t xml:space="preserve"> </w:t>
      </w:r>
      <w:r w:rsidR="00B65A60">
        <w:t xml:space="preserve">an engineering and construction management company specializing in the design and construction of capital projects for the oil &amp; gas, refining, </w:t>
      </w:r>
      <w:r w:rsidR="00326DC5">
        <w:t>LNG</w:t>
      </w:r>
      <w:r w:rsidR="00B65A60">
        <w:t>, power, and related energy industries</w:t>
      </w:r>
      <w:r w:rsidR="00783C08">
        <w:t xml:space="preserve">, which he sold in </w:t>
      </w:r>
      <w:r w:rsidR="00326DC5">
        <w:t xml:space="preserve">January of </w:t>
      </w:r>
      <w:r w:rsidR="00783C08">
        <w:t>2014</w:t>
      </w:r>
      <w:r w:rsidR="00B65A60">
        <w:t>.</w:t>
      </w:r>
    </w:p>
    <w:p w:rsidR="00B65A60" w:rsidRDefault="00B65A60" w:rsidP="003359BC">
      <w:pPr>
        <w:widowControl/>
        <w:jc w:val="left"/>
      </w:pPr>
      <w:r>
        <w:lastRenderedPageBreak/>
        <w:t xml:space="preserve">Prior to founding CEC in May 2003, Mr. Varello was Senior Partner of Varello &amp; Associates, a company that provided technical assessments, economic evaluations, estimates and constructability reviews to project lenders, plant operators and engineering companies from September 2001 to May 2003.  From May 1990 to September 2001, Mr. Varello was Chairman of the Board and Chief Executive Officer of American Ref-Fuel Company of Houston, Texas.  The company was a joint venture of two publicly-traded companies </w:t>
      </w:r>
      <w:r w:rsidR="0034587F">
        <w:t xml:space="preserve">formed </w:t>
      </w:r>
      <w:r>
        <w:t>to develop, own and operate plants that convert</w:t>
      </w:r>
      <w:r w:rsidR="00AB720D">
        <w:t>ed</w:t>
      </w:r>
      <w:r>
        <w:t xml:space="preserve"> solid municipal waste into energy.  For the eighteen years prior to 1990, Mr. Varello was with Fluor Corporation, a Fortune 500 company that provides engineering, procurement, construction, maintenance, and project management services to a wide range of global clients.  Mr. Varello started with Fluor as a project construction manager and rose to</w:t>
      </w:r>
      <w:r w:rsidR="00F03CF3">
        <w:t xml:space="preserve"> the position of</w:t>
      </w:r>
      <w:r>
        <w:t xml:space="preserve"> President of the Process Sector.  </w:t>
      </w:r>
    </w:p>
    <w:p w:rsidR="00B65A60" w:rsidRDefault="00B65A60" w:rsidP="00136567">
      <w:pPr>
        <w:widowControl/>
        <w:jc w:val="left"/>
      </w:pPr>
      <w:r w:rsidRPr="00F84811">
        <w:rPr>
          <w:i/>
        </w:rPr>
        <w:t>Prior Directorships</w:t>
      </w:r>
      <w:r w:rsidR="00F84811">
        <w:rPr>
          <w:i/>
        </w:rPr>
        <w:t>.</w:t>
      </w:r>
      <w:r w:rsidRPr="005F00C8">
        <w:rPr>
          <w:i/>
        </w:rPr>
        <w:t xml:space="preserve">  </w:t>
      </w:r>
      <w:r>
        <w:t xml:space="preserve">From 2005 to 2012, Mr. Varello was a director of Sims Metal Management Limited (NYSE: SMS and </w:t>
      </w:r>
      <w:proofErr w:type="spellStart"/>
      <w:r>
        <w:t>ASX</w:t>
      </w:r>
      <w:proofErr w:type="spellEnd"/>
      <w:r>
        <w:t xml:space="preserve">: </w:t>
      </w:r>
      <w:proofErr w:type="spellStart"/>
      <w:r>
        <w:t>SGM</w:t>
      </w:r>
      <w:proofErr w:type="spellEnd"/>
      <w:r>
        <w:t>), a global recycler of metals and electronics</w:t>
      </w:r>
      <w:r w:rsidR="00F1454E">
        <w:t>,</w:t>
      </w:r>
      <w:r>
        <w:t xml:space="preserve"> headquartered in Sydney</w:t>
      </w:r>
      <w:r w:rsidR="007B1072">
        <w:t>,</w:t>
      </w:r>
      <w:r>
        <w:t xml:space="preserve"> Australia.  From 1992 to 1999, he served on the board of Ryland Group, Inc. (NYSE: </w:t>
      </w:r>
      <w:proofErr w:type="spellStart"/>
      <w:r>
        <w:t>RYL</w:t>
      </w:r>
      <w:proofErr w:type="spellEnd"/>
      <w:r>
        <w:t xml:space="preserve">), a homebuilder and a mortgage-finance company located in the United States. </w:t>
      </w:r>
    </w:p>
    <w:p w:rsidR="00B65A60" w:rsidRPr="00DD1EDA" w:rsidRDefault="00B65A60" w:rsidP="00136567">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t>Mr. Varello's background encompasses a diversity of experience in engineering, construction, executive management and board service that enhance</w:t>
      </w:r>
      <w:r w:rsidR="008A7CD0">
        <w:t>s</w:t>
      </w:r>
      <w:r>
        <w:t xml:space="preserve"> both the scope and breadth of the Board's expertise as a group, thereby contributing to the overall performance of the Board's responsibilities.  He is a Registered Professional Engineer in California, Texas and Louisiana, and holds a Bachelor of Civil Engineering from Villanova University.  He is also a graduate of Harvard Business School's Advanced Management Program.  </w:t>
      </w:r>
    </w:p>
    <w:p w:rsidR="00B65A60" w:rsidRPr="00952549" w:rsidRDefault="00B65A60" w:rsidP="00136567">
      <w:pPr>
        <w:keepNext/>
        <w:spacing w:after="0"/>
        <w:jc w:val="left"/>
        <w:rPr>
          <w:i/>
        </w:rPr>
      </w:pPr>
      <w:r w:rsidRPr="00F84811">
        <w:rPr>
          <w:b/>
          <w:i/>
        </w:rPr>
        <w:t>Marian M. Davenport</w:t>
      </w:r>
      <w:r w:rsidR="00952549">
        <w:rPr>
          <w:i/>
        </w:rPr>
        <w:t xml:space="preserve"> (continuing director)</w:t>
      </w:r>
    </w:p>
    <w:p w:rsidR="00B65A60" w:rsidRDefault="00B65A60" w:rsidP="00136567">
      <w:pPr>
        <w:keepNext/>
        <w:spacing w:after="0"/>
        <w:ind w:left="270"/>
        <w:jc w:val="left"/>
      </w:pPr>
      <w:r>
        <w:t>Executive Director</w:t>
      </w:r>
      <w:r w:rsidR="005D3997">
        <w:t>,</w:t>
      </w:r>
      <w:r>
        <w:t xml:space="preserve"> Genesys Works</w:t>
      </w:r>
      <w:r w:rsidR="005D3997">
        <w:t xml:space="preserve"> — Houston</w:t>
      </w:r>
      <w:r>
        <w:t>,</w:t>
      </w:r>
    </w:p>
    <w:p w:rsidR="00B65A60" w:rsidRDefault="00B65A60" w:rsidP="00136567">
      <w:pPr>
        <w:keepNext/>
        <w:ind w:left="274"/>
        <w:jc w:val="left"/>
        <w:rPr>
          <w:b/>
        </w:rPr>
      </w:pPr>
      <w:r>
        <w:t>a nationally-recognized nonprofit organization that trains and employs economically disadvantaged high school students to work as professionals in major corporations during their senior year.</w:t>
      </w:r>
    </w:p>
    <w:p w:rsidR="00B65A60" w:rsidRDefault="00B65A60" w:rsidP="00136567">
      <w:pPr>
        <w:keepNext/>
        <w:jc w:val="left"/>
      </w:pPr>
      <w:r>
        <w:t xml:space="preserve">Ms. Davenport has served in the above capacity since </w:t>
      </w:r>
      <w:r w:rsidRPr="00BC10CB">
        <w:t>March 2013.</w:t>
      </w:r>
      <w:r>
        <w:t xml:space="preserve">  From September 2004 to March 2013, Ms. Davenport was associated with Big Brothers Big Sisters, a non-profit organization that provides one-to-one mentoring for children.  She held various positions in its affiliated organizations, including serving from September 2004 to June 2010 as President &amp; Chief Executive Officer of Big Brothers Big Sisters of Greater Houston, and from June 2010 to March 2013 as Senior Vice President, Operations and Capacity Building of Big Brothers Big Sisters Lone Star.  From April 1997 to December 2002, Ms. Davenport was employed by Dynegy Inc., a publicly-traded company in the business of power distribution, marketing and trading of gas, power and other commodities, midstream services and electric distribution.  She joined Dynegy as General Counsel, Commercial Development and rose to the position of Senior Vice President, Legislative and Regulatory Affairs.  </w:t>
      </w:r>
    </w:p>
    <w:p w:rsidR="00B65A60" w:rsidRDefault="00B65A60" w:rsidP="00E76747">
      <w:pPr>
        <w:widowControl/>
        <w:jc w:val="left"/>
      </w:pPr>
      <w:r w:rsidRPr="00F84811">
        <w:rPr>
          <w:i/>
        </w:rPr>
        <w:t xml:space="preserve">Experience, Qualifications, Attributes </w:t>
      </w:r>
      <w:r w:rsidR="00C75C71">
        <w:rPr>
          <w:i/>
        </w:rPr>
        <w:t>&amp;</w:t>
      </w:r>
      <w:r w:rsidRPr="00F84811">
        <w:rPr>
          <w:i/>
        </w:rPr>
        <w:t xml:space="preserve"> Skills</w:t>
      </w:r>
      <w:r w:rsidR="00F84811">
        <w:rPr>
          <w:i/>
        </w:rPr>
        <w:t>.</w:t>
      </w:r>
      <w:r>
        <w:rPr>
          <w:rStyle w:val="002ProxyChar"/>
          <w:b w:val="0"/>
        </w:rPr>
        <w:t xml:space="preserve">  </w:t>
      </w:r>
      <w:r w:rsidRPr="00DD31A1">
        <w:rPr>
          <w:sz w:val="22"/>
          <w:szCs w:val="22"/>
        </w:rPr>
        <w:t>Ms. Davenport bring</w:t>
      </w:r>
      <w:r>
        <w:rPr>
          <w:sz w:val="22"/>
          <w:szCs w:val="22"/>
        </w:rPr>
        <w:t>s</w:t>
      </w:r>
      <w:r w:rsidRPr="00DD31A1">
        <w:rPr>
          <w:sz w:val="22"/>
          <w:szCs w:val="22"/>
        </w:rPr>
        <w:t xml:space="preserve"> to the Board her background as a lawyer,</w:t>
      </w:r>
      <w:r>
        <w:rPr>
          <w:sz w:val="22"/>
          <w:szCs w:val="22"/>
        </w:rPr>
        <w:t xml:space="preserve"> with experience in corporate governance and securities compliance, having served as general counsel of a public company.  In addition, she has extensive experience as an executive in the energy industry as a result of managing the development of large natural gas-fired power plants and where she served as a change agent to improve performance of critical company functions, including human resources. </w:t>
      </w:r>
      <w:r w:rsidRPr="00DD31A1">
        <w:rPr>
          <w:sz w:val="22"/>
          <w:szCs w:val="22"/>
        </w:rPr>
        <w:t xml:space="preserve"> </w:t>
      </w:r>
      <w:r>
        <w:rPr>
          <w:sz w:val="22"/>
          <w:szCs w:val="22"/>
        </w:rPr>
        <w:t xml:space="preserve">Ms. Davenport's more recent </w:t>
      </w:r>
      <w:r w:rsidRPr="00DD31A1">
        <w:rPr>
          <w:sz w:val="22"/>
          <w:szCs w:val="22"/>
        </w:rPr>
        <w:t xml:space="preserve">career in the non-profit sector </w:t>
      </w:r>
      <w:r>
        <w:rPr>
          <w:sz w:val="22"/>
          <w:szCs w:val="22"/>
        </w:rPr>
        <w:t xml:space="preserve">providing mentoring and workforce development opportunities for </w:t>
      </w:r>
      <w:r w:rsidRPr="00DD31A1">
        <w:rPr>
          <w:sz w:val="22"/>
          <w:szCs w:val="22"/>
        </w:rPr>
        <w:t>disadvantaged youth bring</w:t>
      </w:r>
      <w:r w:rsidR="00986A4A">
        <w:rPr>
          <w:sz w:val="22"/>
          <w:szCs w:val="22"/>
        </w:rPr>
        <w:t>s</w:t>
      </w:r>
      <w:r w:rsidRPr="00DD31A1">
        <w:rPr>
          <w:sz w:val="22"/>
          <w:szCs w:val="22"/>
        </w:rPr>
        <w:t xml:space="preserve"> a </w:t>
      </w:r>
      <w:r>
        <w:rPr>
          <w:sz w:val="22"/>
          <w:szCs w:val="22"/>
        </w:rPr>
        <w:t xml:space="preserve">new </w:t>
      </w:r>
      <w:r w:rsidRPr="00DD31A1">
        <w:rPr>
          <w:sz w:val="22"/>
          <w:szCs w:val="22"/>
        </w:rPr>
        <w:t xml:space="preserve">perspective and expertise </w:t>
      </w:r>
      <w:r>
        <w:rPr>
          <w:sz w:val="22"/>
          <w:szCs w:val="22"/>
        </w:rPr>
        <w:t xml:space="preserve">to the </w:t>
      </w:r>
      <w:r w:rsidRPr="00DD31A1">
        <w:rPr>
          <w:sz w:val="22"/>
          <w:szCs w:val="22"/>
        </w:rPr>
        <w:t>Company</w:t>
      </w:r>
      <w:r>
        <w:rPr>
          <w:sz w:val="22"/>
          <w:szCs w:val="22"/>
        </w:rPr>
        <w:t xml:space="preserve">, which is in an industry where finding competent </w:t>
      </w:r>
      <w:r w:rsidRPr="00DD31A1">
        <w:rPr>
          <w:sz w:val="22"/>
          <w:szCs w:val="22"/>
        </w:rPr>
        <w:t xml:space="preserve">candidates for employment </w:t>
      </w:r>
      <w:r>
        <w:rPr>
          <w:sz w:val="22"/>
          <w:szCs w:val="22"/>
        </w:rPr>
        <w:t xml:space="preserve">at all levels </w:t>
      </w:r>
      <w:r w:rsidRPr="00DD31A1">
        <w:rPr>
          <w:sz w:val="22"/>
          <w:szCs w:val="22"/>
        </w:rPr>
        <w:t xml:space="preserve">is more and more competitive.  </w:t>
      </w:r>
      <w:r>
        <w:rPr>
          <w:sz w:val="22"/>
          <w:szCs w:val="22"/>
        </w:rPr>
        <w:t>In sum, Ms. Davenport's extensive background in both the for-profit and non-profit sectors bring</w:t>
      </w:r>
      <w:r w:rsidR="00986A4A">
        <w:rPr>
          <w:sz w:val="22"/>
          <w:szCs w:val="22"/>
        </w:rPr>
        <w:t>s</w:t>
      </w:r>
      <w:r>
        <w:rPr>
          <w:sz w:val="22"/>
          <w:szCs w:val="22"/>
        </w:rPr>
        <w:t xml:space="preserve"> </w:t>
      </w:r>
      <w:r w:rsidRPr="00DD31A1">
        <w:rPr>
          <w:sz w:val="22"/>
          <w:szCs w:val="22"/>
        </w:rPr>
        <w:t xml:space="preserve">cognitive diversity </w:t>
      </w:r>
      <w:r>
        <w:rPr>
          <w:sz w:val="22"/>
          <w:szCs w:val="22"/>
        </w:rPr>
        <w:t xml:space="preserve">to </w:t>
      </w:r>
      <w:r w:rsidRPr="00DD31A1">
        <w:rPr>
          <w:sz w:val="22"/>
          <w:szCs w:val="22"/>
        </w:rPr>
        <w:t>the Board</w:t>
      </w:r>
      <w:r w:rsidR="007F70B6">
        <w:rPr>
          <w:sz w:val="22"/>
          <w:szCs w:val="22"/>
        </w:rPr>
        <w:t xml:space="preserve"> and the committees on which she serves.</w:t>
      </w:r>
      <w:r>
        <w:rPr>
          <w:sz w:val="22"/>
          <w:szCs w:val="22"/>
        </w:rPr>
        <w:t xml:space="preserve">  </w:t>
      </w:r>
      <w:r>
        <w:t>Ms. Davenport holds a Bachelor of Arts</w:t>
      </w:r>
      <w:r w:rsidR="00B404EB">
        <w:t xml:space="preserve"> degree, Liberal Arts and Sciences, </w:t>
      </w:r>
      <w:r>
        <w:t xml:space="preserve">from The Colorado College, </w:t>
      </w:r>
      <w:r>
        <w:lastRenderedPageBreak/>
        <w:t xml:space="preserve">of Colorado Springs, Colorado, and a JD degree from the University of Denver, College of Law, in Denver, Colorado.  Ms. Davenport is a member of the bar of Texas.  </w:t>
      </w:r>
    </w:p>
    <w:p w:rsidR="0092320A" w:rsidRDefault="00C36A17" w:rsidP="00136567">
      <w:pPr>
        <w:pStyle w:val="001Proxy"/>
        <w:pBdr>
          <w:bottom w:val="single" w:sz="12" w:space="1" w:color="auto"/>
        </w:pBdr>
        <w:spacing w:after="240"/>
      </w:pPr>
      <w:bookmarkStart w:id="36" w:name="_Toc381354115"/>
      <w:bookmarkStart w:id="37" w:name="_Toc445739555"/>
      <w:r w:rsidRPr="00C36A17">
        <w:t xml:space="preserve">RATIFICATION OF THE SELECTION OF THE INDEPENDENT REGISTERED PUBLIC ACCOUNTING FIRM </w:t>
      </w:r>
      <w:r w:rsidRPr="00D74A8B">
        <w:rPr>
          <w:b w:val="0"/>
          <w:i/>
        </w:rPr>
        <w:t xml:space="preserve">(Proposal </w:t>
      </w:r>
      <w:r w:rsidR="007340A9">
        <w:rPr>
          <w:b w:val="0"/>
          <w:i/>
        </w:rPr>
        <w:t>2</w:t>
      </w:r>
      <w:r w:rsidRPr="00D74A8B">
        <w:rPr>
          <w:b w:val="0"/>
          <w:i/>
        </w:rPr>
        <w:t>)</w:t>
      </w:r>
      <w:bookmarkEnd w:id="36"/>
      <w:bookmarkEnd w:id="37"/>
    </w:p>
    <w:p w:rsidR="00C36A17" w:rsidRDefault="00C36A17" w:rsidP="00136567">
      <w:pPr>
        <w:widowControl/>
        <w:jc w:val="left"/>
      </w:pPr>
      <w:r>
        <w:t xml:space="preserve">Pursuant to its charter, the Audit Committee is responsible for the appointment of the Company's </w:t>
      </w:r>
      <w:r w:rsidR="00A4452D">
        <w:t>independent registered public accounting firm</w:t>
      </w:r>
      <w:r>
        <w:t xml:space="preserve">.  The Audit Committee has selected Grant Thornton LLP to perform the audit of the Company's </w:t>
      </w:r>
      <w:r w:rsidR="00A4452D">
        <w:t>2016 financial statements</w:t>
      </w:r>
      <w:r>
        <w:t xml:space="preserve">.  Grant Thornton was also the Company's </w:t>
      </w:r>
      <w:r w:rsidR="00A4452D">
        <w:t>201</w:t>
      </w:r>
      <w:r w:rsidR="00A56DBA">
        <w:t>5</w:t>
      </w:r>
      <w:r w:rsidR="00A4452D">
        <w:t xml:space="preserve"> </w:t>
      </w:r>
      <w:r>
        <w:t xml:space="preserve">independent registered public accounting firm.  </w:t>
      </w:r>
    </w:p>
    <w:p w:rsidR="00C36A17" w:rsidRDefault="00C36A17" w:rsidP="00136567">
      <w:pPr>
        <w:widowControl/>
        <w:jc w:val="left"/>
      </w:pPr>
      <w:r>
        <w:t xml:space="preserve">The </w:t>
      </w:r>
      <w:r w:rsidR="002D4D38">
        <w:t xml:space="preserve">Audit Committee </w:t>
      </w:r>
      <w:r>
        <w:t>may select a</w:t>
      </w:r>
      <w:r w:rsidR="0013127E">
        <w:t xml:space="preserve"> different</w:t>
      </w:r>
      <w:r>
        <w:t xml:space="preserve"> independent registered public accounting firm at any time during the year if it determines that to do so would be in the best interests of the Company and its stockholders.  The Board is asking stockholders to ratify the selection of Grant Thornton as a matter of good corporate practice, although ratification is not required by law or by the Company's Bylaws, and the vote is not binding on the </w:t>
      </w:r>
      <w:r w:rsidR="002D4D38">
        <w:t>Audit Committee</w:t>
      </w:r>
      <w:r>
        <w:t xml:space="preserve">.  </w:t>
      </w:r>
      <w:r w:rsidR="00276329">
        <w:t>There is information about Grant Thornton</w:t>
      </w:r>
      <w:r w:rsidR="0013127E">
        <w:t>'s fees</w:t>
      </w:r>
      <w:r w:rsidR="00276329">
        <w:t xml:space="preserve"> </w:t>
      </w:r>
      <w:r w:rsidR="0013127E">
        <w:t xml:space="preserve">below </w:t>
      </w:r>
      <w:r w:rsidR="00276329">
        <w:t xml:space="preserve">under the heading </w:t>
      </w:r>
      <w:r w:rsidR="00276329" w:rsidRPr="00C36A17">
        <w:rPr>
          <w:i/>
        </w:rPr>
        <w:t xml:space="preserve">Information About Audit Fees </w:t>
      </w:r>
      <w:r w:rsidR="00276329">
        <w:rPr>
          <w:i/>
        </w:rPr>
        <w:t>&amp;</w:t>
      </w:r>
      <w:r w:rsidR="00276329" w:rsidRPr="00C36A17">
        <w:rPr>
          <w:i/>
        </w:rPr>
        <w:t xml:space="preserve"> Audit Services</w:t>
      </w:r>
      <w:r w:rsidR="00276329">
        <w:t xml:space="preserve">.  </w:t>
      </w:r>
    </w:p>
    <w:p w:rsidR="00C36A17" w:rsidRDefault="00C36A17" w:rsidP="002B7989">
      <w:pPr>
        <w:keepNext/>
        <w:widowControl/>
        <w:jc w:val="left"/>
      </w:pPr>
      <w:r>
        <w:t xml:space="preserve">The ratification of the selection of Grant Thornton requires the affirmative vote of the holders of a majority of shares of common stock </w:t>
      </w:r>
      <w:r w:rsidR="007340A9">
        <w:t>present</w:t>
      </w:r>
      <w:r w:rsidR="00A216E8">
        <w:t xml:space="preserve"> in person or </w:t>
      </w:r>
      <w:r w:rsidR="007340A9">
        <w:t xml:space="preserve">represented </w:t>
      </w:r>
      <w:r w:rsidR="00A216E8">
        <w:t>by proxy at the meeting</w:t>
      </w:r>
      <w:r>
        <w:t xml:space="preserve"> and </w:t>
      </w:r>
      <w:r w:rsidR="00A216E8">
        <w:t xml:space="preserve">who are </w:t>
      </w:r>
      <w:r>
        <w:t xml:space="preserve">entitled to vote </w:t>
      </w:r>
      <w:r w:rsidR="00276329">
        <w:t>on this proposal</w:t>
      </w:r>
      <w:r>
        <w:t xml:space="preserve">.  </w:t>
      </w:r>
    </w:p>
    <w:p w:rsidR="00C36A17" w:rsidRPr="008D7C6A" w:rsidRDefault="00816B32" w:rsidP="002B7989">
      <w:pPr>
        <w:keepNext/>
        <w:widowControl/>
        <w:spacing w:after="240"/>
        <w:ind w:left="360"/>
        <w:jc w:val="center"/>
        <w:rPr>
          <w:b/>
          <w:smallCaps/>
          <w:sz w:val="20"/>
        </w:rPr>
      </w:pPr>
      <w:r w:rsidRPr="008D7C6A">
        <w:rPr>
          <w:b/>
          <w:smallCaps/>
          <w:sz w:val="20"/>
        </w:rPr>
        <w:t xml:space="preserve">the </w:t>
      </w:r>
      <w:r w:rsidR="00E46CE1" w:rsidRPr="008D7C6A">
        <w:rPr>
          <w:b/>
          <w:smallCaps/>
          <w:sz w:val="20"/>
        </w:rPr>
        <w:t>B</w:t>
      </w:r>
      <w:r w:rsidRPr="008D7C6A">
        <w:rPr>
          <w:b/>
          <w:smallCaps/>
          <w:sz w:val="20"/>
        </w:rPr>
        <w:t xml:space="preserve">oard of </w:t>
      </w:r>
      <w:r w:rsidR="00E46CE1" w:rsidRPr="008D7C6A">
        <w:rPr>
          <w:b/>
          <w:smallCaps/>
          <w:sz w:val="20"/>
        </w:rPr>
        <w:t>D</w:t>
      </w:r>
      <w:r w:rsidRPr="008D7C6A">
        <w:rPr>
          <w:b/>
          <w:smallCaps/>
          <w:sz w:val="20"/>
        </w:rPr>
        <w:t xml:space="preserve">irectors recommends that stockholders vote </w:t>
      </w:r>
      <w:r w:rsidRPr="003B1036">
        <w:rPr>
          <w:b/>
          <w:i/>
          <w:smallCaps/>
          <w:sz w:val="20"/>
        </w:rPr>
        <w:t>for</w:t>
      </w:r>
      <w:r w:rsidRPr="008D7C6A">
        <w:rPr>
          <w:b/>
          <w:smallCaps/>
          <w:sz w:val="20"/>
        </w:rPr>
        <w:t xml:space="preserve"> the ratification of the </w:t>
      </w:r>
      <w:r w:rsidR="001133AA" w:rsidRPr="008D7C6A">
        <w:rPr>
          <w:b/>
          <w:smallCaps/>
          <w:sz w:val="20"/>
        </w:rPr>
        <w:t xml:space="preserve">selection of </w:t>
      </w:r>
      <w:r w:rsidR="00E46CE1" w:rsidRPr="008D7C6A">
        <w:rPr>
          <w:b/>
          <w:smallCaps/>
          <w:sz w:val="20"/>
        </w:rPr>
        <w:t>G</w:t>
      </w:r>
      <w:r w:rsidR="001133AA" w:rsidRPr="008D7C6A">
        <w:rPr>
          <w:b/>
          <w:smallCaps/>
          <w:sz w:val="20"/>
        </w:rPr>
        <w:t xml:space="preserve">rant </w:t>
      </w:r>
      <w:r w:rsidR="00E46CE1" w:rsidRPr="008D7C6A">
        <w:rPr>
          <w:b/>
          <w:smallCaps/>
          <w:sz w:val="20"/>
        </w:rPr>
        <w:t>T</w:t>
      </w:r>
      <w:r w:rsidR="001133AA" w:rsidRPr="008D7C6A">
        <w:rPr>
          <w:b/>
          <w:smallCaps/>
          <w:sz w:val="20"/>
        </w:rPr>
        <w:t xml:space="preserve">hornton </w:t>
      </w:r>
      <w:r w:rsidR="00E46CE1" w:rsidRPr="008D7C6A">
        <w:rPr>
          <w:b/>
          <w:smallCaps/>
          <w:sz w:val="20"/>
        </w:rPr>
        <w:t>LLP</w:t>
      </w:r>
    </w:p>
    <w:p w:rsidR="00816B32" w:rsidRPr="007404C5" w:rsidRDefault="007404C5" w:rsidP="00136567">
      <w:pPr>
        <w:pStyle w:val="001Proxy"/>
        <w:pBdr>
          <w:bottom w:val="single" w:sz="12" w:space="1" w:color="auto"/>
        </w:pBdr>
        <w:spacing w:after="240"/>
      </w:pPr>
      <w:bookmarkStart w:id="38" w:name="_Toc381354116"/>
      <w:bookmarkStart w:id="39" w:name="_Toc445739556"/>
      <w:r w:rsidRPr="00536CB7">
        <w:t xml:space="preserve">APPROVAL OF THE COMPANY’S NAMED EXECUTIVE OFFICER COMPENSATION </w:t>
      </w:r>
      <w:r w:rsidR="00536CB7" w:rsidRPr="00536CB7">
        <w:t>FOR 201</w:t>
      </w:r>
      <w:r w:rsidR="00B71A16">
        <w:t>5</w:t>
      </w:r>
      <w:r w:rsidR="00536CB7">
        <w:t xml:space="preserve"> </w:t>
      </w:r>
      <w:r w:rsidRPr="007404C5">
        <w:t xml:space="preserve">(an advisory vote) </w:t>
      </w:r>
      <w:r w:rsidRPr="00D74A8B">
        <w:rPr>
          <w:b w:val="0"/>
          <w:i/>
        </w:rPr>
        <w:t xml:space="preserve">(Proposal </w:t>
      </w:r>
      <w:r w:rsidR="007340A9">
        <w:rPr>
          <w:b w:val="0"/>
          <w:i/>
        </w:rPr>
        <w:t>3</w:t>
      </w:r>
      <w:r w:rsidRPr="00D74A8B">
        <w:rPr>
          <w:b w:val="0"/>
          <w:i/>
        </w:rPr>
        <w:t>)</w:t>
      </w:r>
      <w:bookmarkEnd w:id="38"/>
      <w:bookmarkEnd w:id="39"/>
    </w:p>
    <w:p w:rsidR="004A307D" w:rsidRDefault="005942B0" w:rsidP="002E696F">
      <w:pPr>
        <w:widowControl/>
        <w:jc w:val="left"/>
      </w:pPr>
      <w:r>
        <w:t>Current SEC regulations require the Company to solicit a</w:t>
      </w:r>
      <w:r w:rsidR="008453C9">
        <w:t>n</w:t>
      </w:r>
      <w:r>
        <w:t xml:space="preserve"> </w:t>
      </w:r>
      <w:r w:rsidR="008453C9">
        <w:t xml:space="preserve">advisory </w:t>
      </w:r>
      <w:r>
        <w:t>stockholder vote on the approval of the compensation of the executive officers</w:t>
      </w:r>
      <w:r w:rsidR="001A2A6D">
        <w:t xml:space="preserve"> of the Company</w:t>
      </w:r>
      <w:r w:rsidR="007335B0">
        <w:t xml:space="preserve"> </w:t>
      </w:r>
      <w:r>
        <w:t xml:space="preserve">who are listed below in the section entitled </w:t>
      </w:r>
      <w:r w:rsidRPr="005D6278">
        <w:rPr>
          <w:i/>
        </w:rPr>
        <w:t>The Executive Officers</w:t>
      </w:r>
      <w:r>
        <w:t xml:space="preserve"> under heading </w:t>
      </w:r>
      <w:r w:rsidRPr="004A2674">
        <w:rPr>
          <w:i/>
        </w:rPr>
        <w:t>Executive Compensation</w:t>
      </w:r>
      <w:r>
        <w:t xml:space="preserve">.  </w:t>
      </w:r>
      <w:r w:rsidR="006A517A">
        <w:t>The</w:t>
      </w:r>
      <w:r>
        <w:t xml:space="preserve"> advisory vote, as described below, is commonly referred to as say-on-pay.  The vote is not binding on the Company.  </w:t>
      </w:r>
    </w:p>
    <w:p w:rsidR="00724F8C" w:rsidRDefault="005942B0" w:rsidP="002E696F">
      <w:pPr>
        <w:widowControl/>
        <w:jc w:val="left"/>
      </w:pPr>
      <w:r>
        <w:t xml:space="preserve">At the 2011 Annual Meeting of Stockholders, </w:t>
      </w:r>
      <w:r w:rsidR="00F81ECA">
        <w:t xml:space="preserve">the </w:t>
      </w:r>
      <w:r>
        <w:t xml:space="preserve">holders of 80% of the shares </w:t>
      </w:r>
      <w:r w:rsidR="00EC665B">
        <w:t xml:space="preserve">who were </w:t>
      </w:r>
      <w:r>
        <w:t>present in person or represented by proxy at the meeting voted in accordance with the Company's recommendation to hold a say-on-pay vote annually</w:t>
      </w:r>
      <w:r w:rsidR="00115C04">
        <w:t>.  T</w:t>
      </w:r>
      <w:r>
        <w:t xml:space="preserve">he Company has </w:t>
      </w:r>
      <w:r w:rsidR="00887427">
        <w:t xml:space="preserve">done so in the past </w:t>
      </w:r>
      <w:r>
        <w:t xml:space="preserve">and </w:t>
      </w:r>
      <w:r w:rsidR="00BB0F0B">
        <w:t xml:space="preserve">intends to </w:t>
      </w:r>
      <w:r>
        <w:t>continue to do so</w:t>
      </w:r>
      <w:r w:rsidR="00115C04">
        <w:t xml:space="preserve"> in the future</w:t>
      </w:r>
      <w:r>
        <w:t xml:space="preserve">.  </w:t>
      </w:r>
    </w:p>
    <w:p w:rsidR="00947DCB" w:rsidRDefault="0051736E" w:rsidP="002E696F">
      <w:pPr>
        <w:widowControl/>
        <w:jc w:val="left"/>
      </w:pPr>
      <w:r>
        <w:t>At the 201</w:t>
      </w:r>
      <w:r w:rsidR="00E64DFE">
        <w:t>5</w:t>
      </w:r>
      <w:r>
        <w:t xml:space="preserve"> Annual Meeting of Stockholders</w:t>
      </w:r>
      <w:r w:rsidR="001948F8">
        <w:t>,</w:t>
      </w:r>
      <w:r w:rsidR="00447ACF">
        <w:t xml:space="preserve"> </w:t>
      </w:r>
      <w:r w:rsidR="00947DCB">
        <w:t>the holders of common stock present in person or represented by proxy at the meeting and who were entitled to vote on the Company's 201</w:t>
      </w:r>
      <w:r w:rsidR="00E64DFE">
        <w:t>4</w:t>
      </w:r>
      <w:r w:rsidR="00947DCB">
        <w:t xml:space="preserve"> executive compensation voted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956"/>
        <w:gridCol w:w="1797"/>
        <w:gridCol w:w="1505"/>
        <w:gridCol w:w="1799"/>
      </w:tblGrid>
      <w:tr w:rsidR="00947DCB" w:rsidTr="007F30AC">
        <w:trPr>
          <w:cantSplit/>
          <w:jc w:val="center"/>
        </w:trPr>
        <w:tc>
          <w:tcPr>
            <w:tcW w:w="1956" w:type="dxa"/>
            <w:tcMar>
              <w:bottom w:w="0" w:type="dxa"/>
            </w:tcMar>
          </w:tcPr>
          <w:p w:rsidR="00947DCB" w:rsidRPr="007335B0" w:rsidRDefault="00FD4B20" w:rsidP="00FD4B20">
            <w:pPr>
              <w:keepNext/>
              <w:widowControl/>
              <w:spacing w:after="0"/>
              <w:jc w:val="center"/>
              <w:rPr>
                <w:i/>
                <w:sz w:val="20"/>
              </w:rPr>
            </w:pPr>
            <w:r>
              <w:rPr>
                <w:i/>
                <w:sz w:val="20"/>
              </w:rPr>
              <w:t xml:space="preserve">Number of </w:t>
            </w:r>
            <w:r w:rsidR="00947DCB" w:rsidRPr="007335B0">
              <w:rPr>
                <w:i/>
                <w:sz w:val="20"/>
              </w:rPr>
              <w:t>Shares Entitled to Vote</w:t>
            </w:r>
          </w:p>
        </w:tc>
        <w:tc>
          <w:tcPr>
            <w:tcW w:w="1797" w:type="dxa"/>
            <w:tcMar>
              <w:bottom w:w="0" w:type="dxa"/>
            </w:tcMar>
            <w:vAlign w:val="bottom"/>
          </w:tcPr>
          <w:p w:rsidR="00947DCB" w:rsidRPr="007335B0" w:rsidRDefault="00FD4B20" w:rsidP="00947DCB">
            <w:pPr>
              <w:widowControl/>
              <w:spacing w:after="0"/>
              <w:jc w:val="center"/>
              <w:rPr>
                <w:i/>
                <w:sz w:val="20"/>
              </w:rPr>
            </w:pPr>
            <w:r>
              <w:rPr>
                <w:i/>
                <w:sz w:val="20"/>
              </w:rPr>
              <w:t xml:space="preserve">Voted </w:t>
            </w:r>
            <w:r w:rsidR="00947DCB" w:rsidRPr="007335B0">
              <w:rPr>
                <w:i/>
                <w:sz w:val="20"/>
              </w:rPr>
              <w:t>For</w:t>
            </w:r>
          </w:p>
        </w:tc>
        <w:tc>
          <w:tcPr>
            <w:tcW w:w="1505" w:type="dxa"/>
            <w:tcMar>
              <w:bottom w:w="0" w:type="dxa"/>
            </w:tcMar>
            <w:vAlign w:val="bottom"/>
          </w:tcPr>
          <w:p w:rsidR="00947DCB" w:rsidRPr="007335B0" w:rsidRDefault="00FD4B20" w:rsidP="00947DCB">
            <w:pPr>
              <w:widowControl/>
              <w:spacing w:after="0"/>
              <w:jc w:val="center"/>
              <w:rPr>
                <w:i/>
                <w:sz w:val="20"/>
              </w:rPr>
            </w:pPr>
            <w:r>
              <w:rPr>
                <w:i/>
                <w:sz w:val="20"/>
              </w:rPr>
              <w:t xml:space="preserve">Voted </w:t>
            </w:r>
            <w:r w:rsidR="00947DCB" w:rsidRPr="007335B0">
              <w:rPr>
                <w:i/>
                <w:sz w:val="20"/>
              </w:rPr>
              <w:t>Against</w:t>
            </w:r>
          </w:p>
        </w:tc>
        <w:tc>
          <w:tcPr>
            <w:tcW w:w="1799" w:type="dxa"/>
            <w:tcMar>
              <w:bottom w:w="0" w:type="dxa"/>
            </w:tcMar>
            <w:vAlign w:val="bottom"/>
          </w:tcPr>
          <w:p w:rsidR="00947DCB" w:rsidRPr="007335B0" w:rsidRDefault="00947DCB" w:rsidP="00947DCB">
            <w:pPr>
              <w:widowControl/>
              <w:spacing w:after="0"/>
              <w:jc w:val="center"/>
              <w:rPr>
                <w:i/>
                <w:sz w:val="20"/>
              </w:rPr>
            </w:pPr>
            <w:r w:rsidRPr="007335B0">
              <w:rPr>
                <w:i/>
                <w:sz w:val="20"/>
              </w:rPr>
              <w:t>Abstain</w:t>
            </w:r>
            <w:r w:rsidR="00FD4B20">
              <w:rPr>
                <w:i/>
                <w:sz w:val="20"/>
              </w:rPr>
              <w:t>ed</w:t>
            </w:r>
          </w:p>
        </w:tc>
      </w:tr>
      <w:tr w:rsidR="00D13C9A" w:rsidTr="007F30AC">
        <w:trPr>
          <w:jc w:val="center"/>
        </w:trPr>
        <w:tc>
          <w:tcPr>
            <w:tcW w:w="1956" w:type="dxa"/>
          </w:tcPr>
          <w:p w:rsidR="00D13C9A" w:rsidRPr="0090032E" w:rsidRDefault="002632F2" w:rsidP="00FD4B20">
            <w:pPr>
              <w:keepNext/>
              <w:widowControl/>
              <w:spacing w:after="0"/>
              <w:jc w:val="center"/>
              <w:rPr>
                <w:sz w:val="20"/>
              </w:rPr>
            </w:pPr>
            <w:r>
              <w:rPr>
                <w:sz w:val="20"/>
              </w:rPr>
              <w:t>13,173,921</w:t>
            </w:r>
          </w:p>
        </w:tc>
        <w:tc>
          <w:tcPr>
            <w:tcW w:w="1797" w:type="dxa"/>
            <w:vAlign w:val="bottom"/>
          </w:tcPr>
          <w:p w:rsidR="00D13C9A" w:rsidRPr="00CD139B" w:rsidRDefault="00D13C9A" w:rsidP="005F5866">
            <w:pPr>
              <w:ind w:right="-29"/>
              <w:jc w:val="center"/>
              <w:rPr>
                <w:spacing w:val="4"/>
                <w:sz w:val="20"/>
              </w:rPr>
            </w:pPr>
            <w:r w:rsidRPr="00CD139B">
              <w:rPr>
                <w:spacing w:val="4"/>
                <w:sz w:val="20"/>
              </w:rPr>
              <w:t>12,579,278</w:t>
            </w:r>
            <w:r w:rsidR="007F30AC">
              <w:rPr>
                <w:spacing w:val="4"/>
                <w:sz w:val="20"/>
              </w:rPr>
              <w:t xml:space="preserve"> (95%)</w:t>
            </w:r>
          </w:p>
        </w:tc>
        <w:tc>
          <w:tcPr>
            <w:tcW w:w="1505" w:type="dxa"/>
            <w:vAlign w:val="bottom"/>
          </w:tcPr>
          <w:p w:rsidR="00D13C9A" w:rsidRPr="00CD139B" w:rsidRDefault="00D13C9A" w:rsidP="005F5866">
            <w:pPr>
              <w:ind w:right="-7"/>
              <w:jc w:val="center"/>
              <w:rPr>
                <w:sz w:val="20"/>
              </w:rPr>
            </w:pPr>
            <w:r w:rsidRPr="00CD139B">
              <w:rPr>
                <w:sz w:val="20"/>
              </w:rPr>
              <w:t>288,943</w:t>
            </w:r>
            <w:r w:rsidR="007F30AC">
              <w:rPr>
                <w:sz w:val="20"/>
              </w:rPr>
              <w:t xml:space="preserve"> (2.2%)</w:t>
            </w:r>
          </w:p>
        </w:tc>
        <w:tc>
          <w:tcPr>
            <w:tcW w:w="1799" w:type="dxa"/>
            <w:vAlign w:val="bottom"/>
          </w:tcPr>
          <w:p w:rsidR="00D13C9A" w:rsidRPr="00CD139B" w:rsidRDefault="00D13C9A" w:rsidP="005F5866">
            <w:pPr>
              <w:jc w:val="center"/>
              <w:rPr>
                <w:sz w:val="20"/>
              </w:rPr>
            </w:pPr>
            <w:r w:rsidRPr="00CD139B">
              <w:rPr>
                <w:sz w:val="20"/>
              </w:rPr>
              <w:t>305,700</w:t>
            </w:r>
            <w:r w:rsidR="007F30AC">
              <w:rPr>
                <w:sz w:val="20"/>
              </w:rPr>
              <w:t xml:space="preserve"> (2.3%)</w:t>
            </w:r>
          </w:p>
        </w:tc>
      </w:tr>
    </w:tbl>
    <w:p w:rsidR="0057037E" w:rsidRDefault="0057037E" w:rsidP="00890B3A">
      <w:pPr>
        <w:widowControl/>
        <w:spacing w:before="100" w:after="60"/>
        <w:jc w:val="left"/>
      </w:pPr>
      <w:r>
        <w:t xml:space="preserve">In determining how to vote on </w:t>
      </w:r>
      <w:r w:rsidR="00807A4F">
        <w:t>the Company's 201</w:t>
      </w:r>
      <w:r w:rsidR="00F90754">
        <w:t>5</w:t>
      </w:r>
      <w:r w:rsidR="00807A4F">
        <w:t xml:space="preserve"> executive compensation</w:t>
      </w:r>
      <w:r>
        <w:t>, stockholders should take into account all of the disclosures in this Proxy Statement that relate to the compensation of executives.  That information includes</w:t>
      </w:r>
      <w:r w:rsidR="005F6A97">
        <w:t xml:space="preserve"> </w:t>
      </w:r>
      <w:r w:rsidR="00807A4F">
        <w:t xml:space="preserve">a discussion and tables that are found </w:t>
      </w:r>
      <w:r w:rsidR="007B69D7">
        <w:t xml:space="preserve">below </w:t>
      </w:r>
      <w:r>
        <w:t xml:space="preserve">under the heading </w:t>
      </w:r>
      <w:r w:rsidRPr="00D16A7B">
        <w:rPr>
          <w:i/>
        </w:rPr>
        <w:t>Executive Compensation</w:t>
      </w:r>
      <w:r w:rsidR="00D042C4">
        <w:t>,</w:t>
      </w:r>
      <w:r>
        <w:t xml:space="preserve"> </w:t>
      </w:r>
      <w:r w:rsidR="00D042C4">
        <w:t xml:space="preserve">as well as </w:t>
      </w:r>
      <w:r w:rsidR="00807A4F">
        <w:t>a</w:t>
      </w:r>
      <w:r w:rsidR="003004A6">
        <w:t>n</w:t>
      </w:r>
      <w:r w:rsidR="00807A4F">
        <w:t xml:space="preserve"> </w:t>
      </w:r>
      <w:r w:rsidR="003004A6">
        <w:t>explanation</w:t>
      </w:r>
      <w:r w:rsidR="00807A4F">
        <w:t xml:space="preserve"> of why and how the types and levels of executive compensation were determined</w:t>
      </w:r>
      <w:r>
        <w:t xml:space="preserve">.  </w:t>
      </w:r>
    </w:p>
    <w:p w:rsidR="0021125C" w:rsidRDefault="0021125C" w:rsidP="00890B3A">
      <w:pPr>
        <w:widowControl/>
        <w:spacing w:after="60"/>
        <w:jc w:val="left"/>
      </w:pPr>
      <w:r>
        <w:lastRenderedPageBreak/>
        <w:t>In the event that stockholders do not approve executive compensation, the Compensation Committee of the Board will review its decisions on compensation structure and levels</w:t>
      </w:r>
      <w:r w:rsidR="007B14E7">
        <w:t>,</w:t>
      </w:r>
      <w:r>
        <w:t xml:space="preserve"> as well as the comparability of </w:t>
      </w:r>
      <w:r w:rsidR="00D50364">
        <w:t xml:space="preserve">the </w:t>
      </w:r>
      <w:r>
        <w:t>executives' compensation to that of a peer group of companies</w:t>
      </w:r>
      <w:r w:rsidR="00291140">
        <w:t>,</w:t>
      </w:r>
      <w:r>
        <w:t xml:space="preserve"> before deciding whether to make any changes in the compensation of one or more </w:t>
      </w:r>
      <w:r w:rsidR="00FD1DCB">
        <w:t xml:space="preserve">of the </w:t>
      </w:r>
      <w:r>
        <w:t xml:space="preserve">executives.  </w:t>
      </w:r>
    </w:p>
    <w:p w:rsidR="00F60B19" w:rsidRDefault="00F60B19" w:rsidP="00890B3A">
      <w:pPr>
        <w:widowControl/>
        <w:spacing w:after="60"/>
        <w:jc w:val="left"/>
      </w:pPr>
      <w:r>
        <w:t>The next advisory vote on say-on-pay after the 201</w:t>
      </w:r>
      <w:r w:rsidR="003F6850">
        <w:t>6</w:t>
      </w:r>
      <w:r>
        <w:t xml:space="preserve"> Annual Meeting of Stockholders will be </w:t>
      </w:r>
      <w:r w:rsidR="008C0B18">
        <w:t>held</w:t>
      </w:r>
      <w:r>
        <w:t xml:space="preserve"> at the 201</w:t>
      </w:r>
      <w:r w:rsidR="003F6850">
        <w:t>7</w:t>
      </w:r>
      <w:r>
        <w:t xml:space="preserve"> Annual Meeting of Stockholders.  </w:t>
      </w:r>
      <w:r w:rsidR="003F6850">
        <w:t>In addition</w:t>
      </w:r>
      <w:r w:rsidR="00BF2F61">
        <w:t>,</w:t>
      </w:r>
      <w:r w:rsidR="003F6850">
        <w:t xml:space="preserve"> a</w:t>
      </w:r>
      <w:r w:rsidR="009F19AB">
        <w:t xml:space="preserve"> vote on </w:t>
      </w:r>
      <w:r w:rsidR="00D95446">
        <w:t>whether the say-on</w:t>
      </w:r>
      <w:r w:rsidR="004B5DF0">
        <w:t>-pay vote should be held every one</w:t>
      </w:r>
      <w:r w:rsidR="00D95446">
        <w:t xml:space="preserve">, </w:t>
      </w:r>
      <w:r w:rsidR="004B5DF0">
        <w:t>two</w:t>
      </w:r>
      <w:r w:rsidR="00D95446">
        <w:t xml:space="preserve"> or </w:t>
      </w:r>
      <w:r w:rsidR="004B5DF0">
        <w:t>three</w:t>
      </w:r>
      <w:r w:rsidR="00D95446">
        <w:t xml:space="preserve"> years </w:t>
      </w:r>
      <w:r w:rsidR="00D43C46">
        <w:t xml:space="preserve">(the say-on-frequency vote) </w:t>
      </w:r>
      <w:r w:rsidR="009F19AB">
        <w:t xml:space="preserve">will </w:t>
      </w:r>
      <w:r w:rsidR="003F6850">
        <w:t xml:space="preserve">also </w:t>
      </w:r>
      <w:r w:rsidR="009F19AB">
        <w:t xml:space="preserve">be </w:t>
      </w:r>
      <w:r w:rsidR="00D43C46">
        <w:t xml:space="preserve">held </w:t>
      </w:r>
      <w:r w:rsidR="009F19AB">
        <w:t xml:space="preserve">at the </w:t>
      </w:r>
      <w:r w:rsidR="00D95446">
        <w:t>2017</w:t>
      </w:r>
      <w:r w:rsidR="009F19AB">
        <w:t xml:space="preserve"> Annual Meeting of Stockholders.</w:t>
      </w:r>
      <w:r w:rsidR="00D95446">
        <w:t xml:space="preserve">  </w:t>
      </w:r>
    </w:p>
    <w:p w:rsidR="007404C5" w:rsidRPr="005D3313" w:rsidRDefault="00A216E8" w:rsidP="002E696F">
      <w:pPr>
        <w:widowControl/>
        <w:jc w:val="left"/>
        <w:rPr>
          <w:sz w:val="20"/>
        </w:rPr>
      </w:pPr>
      <w:r>
        <w:t xml:space="preserve">The affirmative vote of the holders of a majority of </w:t>
      </w:r>
      <w:r w:rsidR="000C3C54">
        <w:t xml:space="preserve">the </w:t>
      </w:r>
      <w:r>
        <w:t xml:space="preserve">shares of common stock </w:t>
      </w:r>
      <w:r w:rsidR="000C3C54">
        <w:t xml:space="preserve">who are </w:t>
      </w:r>
      <w:r w:rsidR="00D26BFE">
        <w:t xml:space="preserve">present </w:t>
      </w:r>
      <w:r>
        <w:t xml:space="preserve">in person or </w:t>
      </w:r>
      <w:r w:rsidR="00D26BFE">
        <w:t xml:space="preserve">represented </w:t>
      </w:r>
      <w:r>
        <w:t xml:space="preserve">by proxy at the </w:t>
      </w:r>
      <w:r w:rsidR="000C3C54">
        <w:t>Annual M</w:t>
      </w:r>
      <w:r>
        <w:t>eeting and who are entitled to vote</w:t>
      </w:r>
      <w:r w:rsidR="007B14E7">
        <w:t xml:space="preserve"> on this proposal</w:t>
      </w:r>
      <w:r w:rsidR="00973BDA">
        <w:t xml:space="preserve"> </w:t>
      </w:r>
      <w:r w:rsidR="005942B0">
        <w:t xml:space="preserve">is required to approve executive compensation.  </w:t>
      </w:r>
    </w:p>
    <w:p w:rsidR="001133AA" w:rsidRPr="000C3C54" w:rsidRDefault="000C3C54" w:rsidP="00075F08">
      <w:pPr>
        <w:widowControl/>
        <w:spacing w:after="0"/>
        <w:jc w:val="center"/>
        <w:rPr>
          <w:b/>
          <w:smallCaps/>
          <w:sz w:val="20"/>
        </w:rPr>
      </w:pPr>
      <w:r w:rsidRPr="000C3C54">
        <w:rPr>
          <w:b/>
          <w:smallCaps/>
          <w:sz w:val="20"/>
        </w:rPr>
        <w:t>T</w:t>
      </w:r>
      <w:r w:rsidR="005D6278" w:rsidRPr="000C3C54">
        <w:rPr>
          <w:b/>
          <w:smallCaps/>
          <w:sz w:val="20"/>
        </w:rPr>
        <w:t xml:space="preserve">he </w:t>
      </w:r>
      <w:r w:rsidR="006D56E0" w:rsidRPr="000C3C54">
        <w:rPr>
          <w:b/>
          <w:smallCaps/>
          <w:sz w:val="20"/>
        </w:rPr>
        <w:t xml:space="preserve">Board of Directors </w:t>
      </w:r>
      <w:r w:rsidR="005D6278" w:rsidRPr="000C3C54">
        <w:rPr>
          <w:b/>
          <w:smallCaps/>
          <w:sz w:val="20"/>
        </w:rPr>
        <w:t xml:space="preserve">recommends that stockholders vote </w:t>
      </w:r>
      <w:r w:rsidR="005D6278" w:rsidRPr="003B1036">
        <w:rPr>
          <w:b/>
          <w:i/>
          <w:smallCaps/>
          <w:sz w:val="20"/>
        </w:rPr>
        <w:t>for</w:t>
      </w:r>
      <w:r w:rsidR="005D6278" w:rsidRPr="000C3C54">
        <w:rPr>
          <w:b/>
          <w:smallCaps/>
          <w:sz w:val="20"/>
        </w:rPr>
        <w:t xml:space="preserve"> the approval of </w:t>
      </w:r>
    </w:p>
    <w:p w:rsidR="005942B0" w:rsidRPr="000C3C54" w:rsidRDefault="006D56E0" w:rsidP="00075F08">
      <w:pPr>
        <w:widowControl/>
        <w:jc w:val="center"/>
        <w:rPr>
          <w:b/>
          <w:smallCaps/>
          <w:sz w:val="20"/>
        </w:rPr>
      </w:pPr>
      <w:r w:rsidRPr="000C3C54">
        <w:rPr>
          <w:b/>
          <w:smallCaps/>
          <w:sz w:val="20"/>
        </w:rPr>
        <w:t xml:space="preserve">named </w:t>
      </w:r>
      <w:r w:rsidR="005D6278" w:rsidRPr="000C3C54">
        <w:rPr>
          <w:b/>
          <w:smallCaps/>
          <w:sz w:val="20"/>
        </w:rPr>
        <w:t xml:space="preserve">executive </w:t>
      </w:r>
      <w:r w:rsidRPr="000C3C54">
        <w:rPr>
          <w:b/>
          <w:smallCaps/>
          <w:sz w:val="20"/>
        </w:rPr>
        <w:t xml:space="preserve">officer </w:t>
      </w:r>
      <w:r w:rsidR="005D6278" w:rsidRPr="000C3C54">
        <w:rPr>
          <w:b/>
          <w:smallCaps/>
          <w:sz w:val="20"/>
        </w:rPr>
        <w:t>compensation</w:t>
      </w:r>
      <w:r w:rsidR="00D337FE" w:rsidRPr="000C3C54">
        <w:rPr>
          <w:b/>
          <w:smallCaps/>
          <w:sz w:val="20"/>
        </w:rPr>
        <w:t xml:space="preserve"> </w:t>
      </w:r>
      <w:r w:rsidR="00C24A4F" w:rsidRPr="000C3C54">
        <w:rPr>
          <w:b/>
          <w:smallCaps/>
          <w:sz w:val="20"/>
        </w:rPr>
        <w:t>p</w:t>
      </w:r>
      <w:r w:rsidR="00E90383" w:rsidRPr="000C3C54">
        <w:rPr>
          <w:b/>
          <w:smallCaps/>
          <w:sz w:val="20"/>
        </w:rPr>
        <w:t xml:space="preserve">ursuant to the following </w:t>
      </w:r>
      <w:r w:rsidR="006E26D9" w:rsidRPr="000C3C54">
        <w:rPr>
          <w:b/>
          <w:smallCaps/>
          <w:sz w:val="20"/>
        </w:rPr>
        <w:t>r</w:t>
      </w:r>
      <w:r w:rsidR="00E90383" w:rsidRPr="000C3C54">
        <w:rPr>
          <w:b/>
          <w:smallCaps/>
          <w:sz w:val="20"/>
        </w:rPr>
        <w:t>esolution:</w:t>
      </w:r>
    </w:p>
    <w:p w:rsidR="00E90383" w:rsidRPr="00E90383" w:rsidRDefault="00E90383" w:rsidP="00B761DC">
      <w:pPr>
        <w:widowControl/>
        <w:ind w:left="720" w:right="630"/>
      </w:pPr>
      <w:r w:rsidRPr="00E90383">
        <w:rPr>
          <w:smallCaps/>
        </w:rPr>
        <w:t>Resolved</w:t>
      </w:r>
      <w:r w:rsidRPr="00E90383">
        <w:t xml:space="preserve">, that the compensation paid to the </w:t>
      </w:r>
      <w:r>
        <w:t>C</w:t>
      </w:r>
      <w:r w:rsidRPr="00E90383">
        <w:t xml:space="preserve">ompany's named executive officers, as disclosed pursuant to Item 402 of Regulation S-K, including the Compensation Discussion and Analysis, compensation tables and narrative discussion </w:t>
      </w:r>
      <w:r>
        <w:t xml:space="preserve">set forth below under the heading </w:t>
      </w:r>
      <w:r w:rsidRPr="00E90383">
        <w:rPr>
          <w:i/>
        </w:rPr>
        <w:t>Executive Compensation</w:t>
      </w:r>
      <w:r w:rsidR="006B5F61">
        <w:rPr>
          <w:i/>
        </w:rPr>
        <w:t>,</w:t>
      </w:r>
      <w:r w:rsidRPr="00E90383">
        <w:t xml:space="preserve"> is hereby </w:t>
      </w:r>
      <w:r w:rsidR="000C3C54" w:rsidRPr="000C3C54">
        <w:t>approved</w:t>
      </w:r>
      <w:r w:rsidR="00E04EC7">
        <w:t>.</w:t>
      </w:r>
    </w:p>
    <w:p w:rsidR="005D6278" w:rsidRPr="00F37508" w:rsidRDefault="00776AF7" w:rsidP="002B7989">
      <w:pPr>
        <w:pStyle w:val="001Proxy"/>
        <w:keepNext/>
        <w:widowControl w:val="0"/>
        <w:pBdr>
          <w:bottom w:val="single" w:sz="12" w:space="1" w:color="auto"/>
        </w:pBdr>
        <w:spacing w:after="240"/>
      </w:pPr>
      <w:bookmarkStart w:id="40" w:name="_Toc381354119"/>
      <w:bookmarkStart w:id="41" w:name="_Toc445739557"/>
      <w:r>
        <w:t xml:space="preserve">THE </w:t>
      </w:r>
      <w:r w:rsidR="00C67CDB" w:rsidRPr="00F37508">
        <w:t xml:space="preserve">BOARD </w:t>
      </w:r>
      <w:bookmarkEnd w:id="40"/>
      <w:r>
        <w:t>OF DIRECTORS</w:t>
      </w:r>
      <w:bookmarkEnd w:id="41"/>
    </w:p>
    <w:p w:rsidR="00AA3DB4" w:rsidRDefault="00AA3DB4" w:rsidP="002B7989">
      <w:pPr>
        <w:keepNext/>
        <w:widowControl/>
        <w:spacing w:after="60"/>
        <w:jc w:val="left"/>
      </w:pPr>
      <w:bookmarkStart w:id="42" w:name="_Toc445739558"/>
      <w:bookmarkStart w:id="43" w:name="_Toc381354120"/>
      <w:r w:rsidRPr="00AA3DB4">
        <w:rPr>
          <w:rStyle w:val="002ProxyChar"/>
        </w:rPr>
        <w:t>Communicating with the Board</w:t>
      </w:r>
      <w:bookmarkEnd w:id="42"/>
      <w:r>
        <w:t xml:space="preserve">.  </w:t>
      </w:r>
      <w:r w:rsidR="00505C37">
        <w:t xml:space="preserve">Stockholders and other interested parties may communicate with the whole </w:t>
      </w:r>
      <w:r>
        <w:t>Board</w:t>
      </w:r>
      <w:r w:rsidR="00505C37">
        <w:t>, the Chairman of the Board</w:t>
      </w:r>
      <w:r w:rsidR="00FC51E3">
        <w:t>,</w:t>
      </w:r>
      <w:r w:rsidR="00505C37">
        <w:t xml:space="preserve"> or with any independent director</w:t>
      </w:r>
      <w:r>
        <w:t xml:space="preserve"> </w:t>
      </w:r>
      <w:r w:rsidR="00505C37">
        <w:t xml:space="preserve">by sending </w:t>
      </w:r>
      <w:r w:rsidR="00DB1FC4">
        <w:t>the communication</w:t>
      </w:r>
      <w:r w:rsidR="00505C37">
        <w:t xml:space="preserve"> as follows</w:t>
      </w:r>
      <w:r>
        <w:t xml:space="preserve">: </w:t>
      </w:r>
    </w:p>
    <w:p w:rsidR="00535079" w:rsidRDefault="00535079" w:rsidP="00535079">
      <w:pPr>
        <w:keepNext/>
        <w:widowControl/>
        <w:spacing w:after="0"/>
        <w:ind w:left="360"/>
        <w:jc w:val="left"/>
      </w:pPr>
      <w:r>
        <w:t>By U.S. Mail:</w:t>
      </w:r>
    </w:p>
    <w:p w:rsidR="00AA3DB4" w:rsidRDefault="00AA3DB4" w:rsidP="00535079">
      <w:pPr>
        <w:keepNext/>
        <w:widowControl/>
        <w:spacing w:after="0"/>
        <w:ind w:left="540"/>
        <w:jc w:val="left"/>
      </w:pPr>
      <w:r>
        <w:t>℅ The Secretary</w:t>
      </w:r>
    </w:p>
    <w:p w:rsidR="00AA3DB4" w:rsidRDefault="00AA3DB4" w:rsidP="00535079">
      <w:pPr>
        <w:keepNext/>
        <w:widowControl/>
        <w:spacing w:after="0"/>
        <w:ind w:left="540"/>
        <w:jc w:val="left"/>
      </w:pPr>
      <w:r>
        <w:t>Sterling Construction Company, Inc.</w:t>
      </w:r>
    </w:p>
    <w:p w:rsidR="00AA3DB4" w:rsidRDefault="00AA3DB4" w:rsidP="00535079">
      <w:pPr>
        <w:keepNext/>
        <w:widowControl/>
        <w:spacing w:after="0"/>
        <w:ind w:left="540"/>
        <w:jc w:val="left"/>
      </w:pPr>
      <w:r>
        <w:t>1800 Hughes Landing Blvd. — Suite 250</w:t>
      </w:r>
    </w:p>
    <w:p w:rsidR="00AA3DB4" w:rsidRDefault="007B14E7" w:rsidP="00535079">
      <w:pPr>
        <w:keepNext/>
        <w:widowControl/>
        <w:spacing w:after="0"/>
        <w:ind w:left="540"/>
        <w:jc w:val="left"/>
      </w:pPr>
      <w:r>
        <w:t>The Woodlands, TX 77380</w:t>
      </w:r>
    </w:p>
    <w:p w:rsidR="007B14E7" w:rsidRDefault="007B14E7" w:rsidP="00535079">
      <w:pPr>
        <w:widowControl/>
        <w:spacing w:after="40"/>
        <w:ind w:firstLine="1170"/>
        <w:jc w:val="left"/>
      </w:pPr>
      <w:r>
        <w:t>or</w:t>
      </w:r>
    </w:p>
    <w:p w:rsidR="007B14E7" w:rsidRDefault="007B14E7" w:rsidP="00535079">
      <w:pPr>
        <w:keepNext/>
        <w:widowControl/>
        <w:ind w:left="360"/>
        <w:jc w:val="left"/>
      </w:pPr>
      <w:r>
        <w:t xml:space="preserve">By </w:t>
      </w:r>
      <w:r w:rsidR="00412B1B">
        <w:t>E</w:t>
      </w:r>
      <w:r>
        <w:t xml:space="preserve">-mail to:  </w:t>
      </w:r>
      <w:hyperlink r:id="rId16" w:history="1">
        <w:r w:rsidRPr="00337CA5">
          <w:rPr>
            <w:rStyle w:val="Hyperlink"/>
          </w:rPr>
          <w:t>Reports@Lighthouse-Services.com</w:t>
        </w:r>
      </w:hyperlink>
    </w:p>
    <w:p w:rsidR="008A7324" w:rsidRDefault="008A7324" w:rsidP="005378B3">
      <w:pPr>
        <w:widowControl/>
        <w:jc w:val="left"/>
      </w:pPr>
      <w:r w:rsidRPr="008A7324">
        <w:t>The Secretary will give the communi</w:t>
      </w:r>
      <w:r w:rsidR="00DB1FC4">
        <w:t>cation</w:t>
      </w:r>
      <w:r w:rsidRPr="008A7324">
        <w:t xml:space="preserve"> to the directors </w:t>
      </w:r>
      <w:r w:rsidR="00DB1FC4">
        <w:t xml:space="preserve">when </w:t>
      </w:r>
      <w:r w:rsidRPr="008A7324">
        <w:t xml:space="preserve">received unless </w:t>
      </w:r>
      <w:r w:rsidR="00DB1FC4">
        <w:t xml:space="preserve">it is </w:t>
      </w:r>
      <w:r w:rsidRPr="008A7324">
        <w:t>f</w:t>
      </w:r>
      <w:r w:rsidR="00DB1FC4">
        <w:t>rivolous.  If the communication</w:t>
      </w:r>
      <w:r w:rsidRPr="008A7324">
        <w:t xml:space="preserve"> </w:t>
      </w:r>
      <w:r w:rsidR="00DB1FC4">
        <w:t>is</w:t>
      </w:r>
      <w:r w:rsidRPr="008A7324">
        <w:t xml:space="preserve"> voluminous, the Secretary will summarize </w:t>
      </w:r>
      <w:r w:rsidR="00DB1FC4">
        <w:t>it</w:t>
      </w:r>
      <w:r w:rsidRPr="008A7324">
        <w:t xml:space="preserve"> and furnish the summary to the Board.  </w:t>
      </w:r>
    </w:p>
    <w:p w:rsidR="00D14949" w:rsidRPr="00D14949" w:rsidRDefault="00D14949" w:rsidP="00890B3A">
      <w:pPr>
        <w:spacing w:after="40"/>
      </w:pPr>
      <w:bookmarkStart w:id="44" w:name="_Toc445739559"/>
      <w:r>
        <w:rPr>
          <w:rStyle w:val="002ProxyChar"/>
        </w:rPr>
        <w:t xml:space="preserve">Board </w:t>
      </w:r>
      <w:r w:rsidRPr="00D14949">
        <w:rPr>
          <w:rStyle w:val="002ProxyChar"/>
        </w:rPr>
        <w:t>Governance</w:t>
      </w:r>
      <w:bookmarkEnd w:id="44"/>
      <w:r>
        <w:t xml:space="preserve">.  </w:t>
      </w:r>
    </w:p>
    <w:p w:rsidR="00C35438" w:rsidRPr="002012FA" w:rsidRDefault="00C35438" w:rsidP="005378B3">
      <w:r w:rsidRPr="002012FA">
        <w:t xml:space="preserve">The </w:t>
      </w:r>
      <w:r w:rsidR="002012FA">
        <w:t>Board</w:t>
      </w:r>
      <w:r w:rsidRPr="002012FA">
        <w:t xml:space="preserve"> has adopted</w:t>
      </w:r>
      <w:r w:rsidR="000663BB" w:rsidRPr="002012FA">
        <w:t xml:space="preserve"> a set of governance guidelines, some of which are referred to elsewhere in this Proxy Statement.  The full set of </w:t>
      </w:r>
      <w:r w:rsidR="000663BB" w:rsidRPr="002012FA">
        <w:rPr>
          <w:i/>
        </w:rPr>
        <w:t>Board Governance Guidelines</w:t>
      </w:r>
      <w:r w:rsidR="000663BB" w:rsidRPr="002012FA">
        <w:t xml:space="preserve"> </w:t>
      </w:r>
      <w:r w:rsidRPr="002012FA">
        <w:t xml:space="preserve">can be found on the Company's website, </w:t>
      </w:r>
      <w:hyperlink r:id="rId17" w:history="1">
        <w:r w:rsidR="00C23E5D" w:rsidRPr="00337E95">
          <w:rPr>
            <w:rStyle w:val="Hyperlink"/>
          </w:rPr>
          <w:t>www.STRLco.com</w:t>
        </w:r>
      </w:hyperlink>
      <w:r w:rsidR="002012FA" w:rsidRPr="00864B44">
        <w:rPr>
          <w:rStyle w:val="Hyperlink"/>
          <w:u w:val="none"/>
        </w:rPr>
        <w:t>,</w:t>
      </w:r>
      <w:r w:rsidR="000663BB" w:rsidRPr="00864B44">
        <w:rPr>
          <w:rStyle w:val="Hyperlink"/>
          <w:color w:val="auto"/>
          <w:u w:val="none"/>
        </w:rPr>
        <w:t xml:space="preserve"> on the Investor Relations page</w:t>
      </w:r>
      <w:r w:rsidR="00864B44">
        <w:t xml:space="preserve"> under Corporate Governance</w:t>
      </w:r>
      <w:r w:rsidRPr="002012FA">
        <w:t xml:space="preserve">.  </w:t>
      </w:r>
    </w:p>
    <w:p w:rsidR="0035351B" w:rsidRDefault="00494636" w:rsidP="005378B3">
      <w:pPr>
        <w:widowControl/>
        <w:jc w:val="left"/>
      </w:pPr>
      <w:bookmarkStart w:id="45" w:name="_Toc445739560"/>
      <w:bookmarkStart w:id="46" w:name="_Toc381354122"/>
      <w:bookmarkEnd w:id="43"/>
      <w:r>
        <w:rPr>
          <w:rStyle w:val="003ProxyChar"/>
        </w:rPr>
        <w:t>Independence</w:t>
      </w:r>
      <w:bookmarkEnd w:id="45"/>
      <w:r w:rsidRPr="003D50D7">
        <w:t xml:space="preserve">.  The </w:t>
      </w:r>
      <w:r w:rsidR="0035351B">
        <w:t>B</w:t>
      </w:r>
      <w:r w:rsidRPr="003D50D7">
        <w:t xml:space="preserve">oard is </w:t>
      </w:r>
      <w:r w:rsidR="002B7989">
        <w:t xml:space="preserve">currently </w:t>
      </w:r>
      <w:r w:rsidRPr="003D50D7">
        <w:t xml:space="preserve">made up of </w:t>
      </w:r>
      <w:r w:rsidR="002B7989">
        <w:t>six</w:t>
      </w:r>
      <w:r w:rsidRPr="003D50D7">
        <w:t xml:space="preserve"> directors</w:t>
      </w:r>
      <w:r w:rsidR="00A01826">
        <w:t>, five of whom are independent</w:t>
      </w:r>
      <w:r w:rsidRPr="003D50D7">
        <w:t xml:space="preserve">.  </w:t>
      </w:r>
      <w:r w:rsidR="00BA12B0">
        <w:t xml:space="preserve">All members of the standing committees of the Board are independent directors as required by the Board's Governance Guidelines.  </w:t>
      </w:r>
      <w:r w:rsidR="004646D9">
        <w:t>Mr. Varello</w:t>
      </w:r>
      <w:r w:rsidR="00A01826">
        <w:t>, Chief Executive Officer of the Company,</w:t>
      </w:r>
      <w:r w:rsidR="004646D9">
        <w:t xml:space="preserve"> is the only </w:t>
      </w:r>
      <w:r w:rsidR="008B60EC">
        <w:t>director</w:t>
      </w:r>
      <w:r w:rsidR="004646D9">
        <w:t xml:space="preserve"> who is not considered independent</w:t>
      </w:r>
      <w:r w:rsidR="00B53B43">
        <w:t xml:space="preserve"> because he is an employee of the Company</w:t>
      </w:r>
      <w:r w:rsidR="004646D9">
        <w:t xml:space="preserve">.  </w:t>
      </w:r>
    </w:p>
    <w:p w:rsidR="00A72915" w:rsidRDefault="00A72915" w:rsidP="005378B3">
      <w:pPr>
        <w:widowControl/>
        <w:jc w:val="left"/>
      </w:pPr>
      <w:bookmarkStart w:id="47" w:name="_Toc445739561"/>
      <w:r w:rsidRPr="00CC2F7B">
        <w:rPr>
          <w:rStyle w:val="003ProxyChar"/>
        </w:rPr>
        <w:t>Leadership Structure</w:t>
      </w:r>
      <w:bookmarkEnd w:id="46"/>
      <w:bookmarkEnd w:id="47"/>
      <w:r>
        <w:t xml:space="preserve">. </w:t>
      </w:r>
      <w:r w:rsidR="00494636">
        <w:t xml:space="preserve"> </w:t>
      </w:r>
      <w:r w:rsidR="00A61C8F">
        <w:t xml:space="preserve">For the short period between February 1 and </w:t>
      </w:r>
      <w:r w:rsidR="00A61C8F" w:rsidRPr="00573BCF">
        <w:t>March 9, 2015</w:t>
      </w:r>
      <w:r w:rsidR="00A61C8F">
        <w:t xml:space="preserve">, </w:t>
      </w:r>
      <w:r w:rsidR="00573BCF">
        <w:t>Mr. Varello</w:t>
      </w:r>
      <w:r w:rsidR="00A61C8F">
        <w:t xml:space="preserve">, was the Company's Chairman of the Board and acting Chief Executive Officer.  </w:t>
      </w:r>
      <w:r w:rsidR="00573BCF">
        <w:t xml:space="preserve">As a result of </w:t>
      </w:r>
      <w:r w:rsidR="00A61C8F">
        <w:t xml:space="preserve">his election as Chief Executive Officer </w:t>
      </w:r>
      <w:r w:rsidR="00573BCF">
        <w:t>on a more permanent</w:t>
      </w:r>
      <w:r w:rsidR="00BD09C0">
        <w:t xml:space="preserve"> basis</w:t>
      </w:r>
      <w:r w:rsidR="00573BCF">
        <w:t xml:space="preserve"> </w:t>
      </w:r>
      <w:r w:rsidR="00A61C8F">
        <w:t xml:space="preserve">and his execution of a three-year employment agreement with the Company, Mr. Varello resigned as Chairman of the Board.  </w:t>
      </w:r>
      <w:r w:rsidR="00573BCF">
        <w:t>Milton L. Scott</w:t>
      </w:r>
      <w:r w:rsidR="00BD09C0">
        <w:t xml:space="preserve">, </w:t>
      </w:r>
      <w:r w:rsidR="00F27758">
        <w:t xml:space="preserve">who is the </w:t>
      </w:r>
      <w:r w:rsidR="00BD09C0">
        <w:t xml:space="preserve">Chair of the Audit Committee, </w:t>
      </w:r>
      <w:r w:rsidR="00F27758">
        <w:t xml:space="preserve">was </w:t>
      </w:r>
      <w:r w:rsidR="00573BCF">
        <w:t xml:space="preserve">elected Chairman in his place.  </w:t>
      </w:r>
      <w:r w:rsidR="00A61C8F">
        <w:t>T</w:t>
      </w:r>
      <w:r>
        <w:t xml:space="preserve">he Company believes that </w:t>
      </w:r>
      <w:r>
        <w:lastRenderedPageBreak/>
        <w:t>the separation of the roles of Chairman and Chief Executive Officer</w:t>
      </w:r>
      <w:r w:rsidR="00594F5D">
        <w:t xml:space="preserve">, </w:t>
      </w:r>
      <w:r w:rsidR="00494636">
        <w:t xml:space="preserve">as required by the Board </w:t>
      </w:r>
      <w:r w:rsidR="00573BCF">
        <w:t>Governance Guidelines</w:t>
      </w:r>
      <w:r w:rsidR="00594F5D">
        <w:t xml:space="preserve">, </w:t>
      </w:r>
      <w:r>
        <w:t xml:space="preserve">is appropriate </w:t>
      </w:r>
      <w:r w:rsidR="007743E9">
        <w:t xml:space="preserve">in order to </w:t>
      </w:r>
      <w:r w:rsidR="00494636">
        <w:t>enhance the independence of the Board</w:t>
      </w:r>
      <w:r w:rsidR="00236B57">
        <w:t>.  I</w:t>
      </w:r>
      <w:r w:rsidR="007743E9">
        <w:t xml:space="preserve">t separates </w:t>
      </w:r>
      <w:r w:rsidR="00494636">
        <w:t xml:space="preserve">the operational </w:t>
      </w:r>
      <w:r w:rsidR="0035351B">
        <w:t xml:space="preserve">leadership </w:t>
      </w:r>
      <w:r w:rsidR="00236B57">
        <w:t xml:space="preserve">role </w:t>
      </w:r>
      <w:r w:rsidR="00494636">
        <w:t xml:space="preserve">of the </w:t>
      </w:r>
      <w:r w:rsidR="007743E9">
        <w:t xml:space="preserve">chief executive </w:t>
      </w:r>
      <w:r w:rsidR="00494636">
        <w:t xml:space="preserve">from the </w:t>
      </w:r>
      <w:r w:rsidR="0035351B">
        <w:t xml:space="preserve">fiduciary </w:t>
      </w:r>
      <w:r w:rsidR="007743E9">
        <w:t xml:space="preserve">leadership role </w:t>
      </w:r>
      <w:r w:rsidR="00494636">
        <w:t>of the Board.  Prior to electing an independent Chairman</w:t>
      </w:r>
      <w:r w:rsidR="00913CC8">
        <w:t xml:space="preserve"> in 2014</w:t>
      </w:r>
      <w:r w:rsidR="00494636">
        <w:t xml:space="preserve">, </w:t>
      </w:r>
      <w:r w:rsidR="00913CC8">
        <w:t xml:space="preserve">from 2006 to 2014, </w:t>
      </w:r>
      <w:r w:rsidR="00FD4DFD">
        <w:t xml:space="preserve">the Company had a Lead Director, who was </w:t>
      </w:r>
      <w:r w:rsidR="0035351B">
        <w:t xml:space="preserve">elected from among </w:t>
      </w:r>
      <w:r w:rsidR="00FD4DFD">
        <w:t xml:space="preserve">the independent </w:t>
      </w:r>
      <w:r w:rsidR="0035351B">
        <w:t>directors</w:t>
      </w:r>
      <w:r w:rsidR="00FD4DFD">
        <w:t xml:space="preserve">.  </w:t>
      </w:r>
    </w:p>
    <w:p w:rsidR="004D05C5" w:rsidRDefault="004D05C5" w:rsidP="005378B3">
      <w:pPr>
        <w:widowControl/>
        <w:jc w:val="left"/>
      </w:pPr>
      <w:bookmarkStart w:id="48" w:name="_Toc445739562"/>
      <w:r w:rsidRPr="00072768">
        <w:rPr>
          <w:rStyle w:val="003ProxyChar"/>
        </w:rPr>
        <w:t>Declassification of Directors</w:t>
      </w:r>
      <w:bookmarkEnd w:id="48"/>
      <w:r>
        <w:t xml:space="preserve">.  </w:t>
      </w:r>
      <w:r w:rsidR="00A20DB7">
        <w:t>As described above</w:t>
      </w:r>
      <w:r w:rsidR="000F2611">
        <w:t xml:space="preserve"> under </w:t>
      </w:r>
      <w:r w:rsidR="00072768">
        <w:t xml:space="preserve">the heading </w:t>
      </w:r>
      <w:r w:rsidR="007254F5" w:rsidRPr="007254F5">
        <w:rPr>
          <w:i/>
        </w:rPr>
        <w:t>Election of Directors (Proposal </w:t>
      </w:r>
      <w:r w:rsidR="000F2611" w:rsidRPr="007254F5">
        <w:rPr>
          <w:i/>
        </w:rPr>
        <w:t>1</w:t>
      </w:r>
      <w:r w:rsidR="007254F5" w:rsidRPr="007254F5">
        <w:rPr>
          <w:i/>
        </w:rPr>
        <w:t>)</w:t>
      </w:r>
      <w:r w:rsidR="000F2611">
        <w:t xml:space="preserve">, </w:t>
      </w:r>
      <w:r>
        <w:t>t</w:t>
      </w:r>
      <w:r w:rsidRPr="006E2D48">
        <w:t xml:space="preserve">he Board </w:t>
      </w:r>
      <w:r>
        <w:t>is in the process of phasing</w:t>
      </w:r>
      <w:r w:rsidRPr="006E2D48">
        <w:t xml:space="preserve"> out </w:t>
      </w:r>
      <w:r w:rsidR="00A72D07">
        <w:t xml:space="preserve">the classification of </w:t>
      </w:r>
      <w:r>
        <w:t xml:space="preserve">its </w:t>
      </w:r>
      <w:r w:rsidR="007254F5">
        <w:t>d</w:t>
      </w:r>
      <w:r w:rsidRPr="006E2D48">
        <w:t>irectors</w:t>
      </w:r>
      <w:r w:rsidR="005A2B12">
        <w:t>.  F</w:t>
      </w:r>
      <w:r>
        <w:t>ormerly</w:t>
      </w:r>
      <w:r w:rsidR="005A2B12">
        <w:t>,</w:t>
      </w:r>
      <w:r>
        <w:t xml:space="preserve"> directors </w:t>
      </w:r>
      <w:r w:rsidR="005A2B12">
        <w:t xml:space="preserve">were divided </w:t>
      </w:r>
      <w:r>
        <w:t xml:space="preserve">into three classes, with </w:t>
      </w:r>
      <w:r w:rsidR="00236B57">
        <w:t>three-year, staggered</w:t>
      </w:r>
      <w:r>
        <w:t xml:space="preserve"> term</w:t>
      </w:r>
      <w:r w:rsidR="00236B57">
        <w:t>s</w:t>
      </w:r>
      <w:r>
        <w:t xml:space="preserve"> so that at each Annual Meeting of Stockholders, the terms of one class of directors expired</w:t>
      </w:r>
      <w:r w:rsidRPr="006E2D48">
        <w:t>.</w:t>
      </w:r>
      <w:r w:rsidR="00456BEA">
        <w:t xml:space="preserve">  At the 2014 Annual Meeting</w:t>
      </w:r>
      <w:r>
        <w:t xml:space="preserve">, </w:t>
      </w:r>
      <w:r w:rsidR="00456BEA">
        <w:t xml:space="preserve">stockholders approved </w:t>
      </w:r>
      <w:r>
        <w:t>an amendment of the Company's Certificate of Incorporation</w:t>
      </w:r>
      <w:r w:rsidR="00456BEA">
        <w:t xml:space="preserve"> </w:t>
      </w:r>
      <w:r>
        <w:t xml:space="preserve">to phase out the classes of directors so that </w:t>
      </w:r>
      <w:r w:rsidR="004975CB">
        <w:t>by</w:t>
      </w:r>
      <w:r>
        <w:t xml:space="preserve"> the 2017 Annual Meeting of Stockholders, all directors will be elected for one-year terms.  </w:t>
      </w:r>
    </w:p>
    <w:p w:rsidR="00CC2F7B" w:rsidRDefault="00CC2F7B" w:rsidP="005378B3">
      <w:pPr>
        <w:widowControl/>
        <w:jc w:val="left"/>
      </w:pPr>
      <w:bookmarkStart w:id="49" w:name="_Toc381354125"/>
      <w:bookmarkStart w:id="50" w:name="_Toc445739563"/>
      <w:bookmarkStart w:id="51" w:name="_Toc381354137"/>
      <w:bookmarkStart w:id="52" w:name="_Toc381354121"/>
      <w:r w:rsidRPr="00CC2F7B">
        <w:rPr>
          <w:rStyle w:val="003ProxyChar"/>
        </w:rPr>
        <w:t>Election of Directors by Majority Vote</w:t>
      </w:r>
      <w:bookmarkEnd w:id="49"/>
      <w:bookmarkEnd w:id="50"/>
      <w:r>
        <w:t xml:space="preserve">.  In order to be elected a director, a nominee </w:t>
      </w:r>
      <w:r w:rsidR="00C21BC1">
        <w:t>must</w:t>
      </w:r>
      <w:r>
        <w:t xml:space="preserve"> receive more votes for his or her election than against it</w:t>
      </w:r>
      <w:r w:rsidR="002C2574">
        <w:t xml:space="preserve">, </w:t>
      </w:r>
      <w:r w:rsidR="00484BBF">
        <w:t xml:space="preserve">which is generally </w:t>
      </w:r>
      <w:r w:rsidR="002C2574">
        <w:t>referred to as a majority vote</w:t>
      </w:r>
      <w:r>
        <w:t xml:space="preserve">.  </w:t>
      </w:r>
      <w:r w:rsidR="002C2574">
        <w:t xml:space="preserve">Since a </w:t>
      </w:r>
      <w:r>
        <w:t>director is elected for a specified term and until his or her successor is elected and qualified</w:t>
      </w:r>
      <w:r w:rsidR="002C2574">
        <w:t xml:space="preserve">, </w:t>
      </w:r>
      <w:r>
        <w:t>an incumbent director who is nominated for re-election, but fails to receive a majority vote, would remain a director because no successor had been elected.  To cure this problem, each incumbent director, as a condition to being nominated for re-election, must, in advance of the Annual Meeting, submit a resignation that becomes effective if he or she does not receive the required vote</w:t>
      </w:r>
      <w:r w:rsidR="00793A46">
        <w:t>,</w:t>
      </w:r>
      <w:r>
        <w:t xml:space="preserve"> and if the Board accepts the resignation.  </w:t>
      </w:r>
      <w:r w:rsidR="00FF783B">
        <w:t>Before t</w:t>
      </w:r>
      <w:r>
        <w:t xml:space="preserve">he </w:t>
      </w:r>
      <w:r w:rsidR="00FF783B">
        <w:t>Board makes a determination</w:t>
      </w:r>
      <w:r w:rsidR="002C2574">
        <w:t xml:space="preserve"> on accepting or rejecting the resignation</w:t>
      </w:r>
      <w:r w:rsidR="00FF783B">
        <w:t xml:space="preserve">, the </w:t>
      </w:r>
      <w:r>
        <w:t>Corporate Governance &amp; Nominating Committee</w:t>
      </w:r>
      <w:r w:rsidR="00FF783B">
        <w:t xml:space="preserve"> </w:t>
      </w:r>
      <w:r w:rsidR="00CA363E">
        <w:t xml:space="preserve">considers the matter and </w:t>
      </w:r>
      <w:r w:rsidR="00093D48">
        <w:t xml:space="preserve">makes a recommendation </w:t>
      </w:r>
      <w:r w:rsidR="00A72D07">
        <w:t xml:space="preserve">to </w:t>
      </w:r>
      <w:r w:rsidR="00CA363E">
        <w:t xml:space="preserve">the </w:t>
      </w:r>
      <w:r w:rsidR="00093D48">
        <w:t>Board</w:t>
      </w:r>
      <w:r>
        <w:t xml:space="preserve">.  </w:t>
      </w:r>
      <w:r w:rsidR="006B5F61">
        <w:t xml:space="preserve">Each of the nominees has furnished the Board with the required contingent resignation.  </w:t>
      </w:r>
    </w:p>
    <w:p w:rsidR="00F06CDE" w:rsidRDefault="00F06CDE" w:rsidP="005378B3">
      <w:pPr>
        <w:widowControl/>
        <w:jc w:val="left"/>
      </w:pPr>
      <w:bookmarkStart w:id="53" w:name="_Toc445739564"/>
      <w:r w:rsidRPr="00CC2F7B">
        <w:rPr>
          <w:rStyle w:val="003ProxyChar"/>
        </w:rPr>
        <w:t>Directors' Attendance at Meetings in 201</w:t>
      </w:r>
      <w:r w:rsidR="00691D43">
        <w:rPr>
          <w:rStyle w:val="003ProxyChar"/>
        </w:rPr>
        <w:t>5</w:t>
      </w:r>
      <w:bookmarkEnd w:id="53"/>
      <w:r>
        <w:t>.  During 201</w:t>
      </w:r>
      <w:r w:rsidR="001112F9">
        <w:t>5</w:t>
      </w:r>
      <w:r>
        <w:t>, the Board held 1</w:t>
      </w:r>
      <w:r w:rsidR="00663DD6">
        <w:t>7</w:t>
      </w:r>
      <w:r>
        <w:t xml:space="preserve"> meetings; the Audit Committee</w:t>
      </w:r>
      <w:r w:rsidR="00991320">
        <w:t xml:space="preserve"> held </w:t>
      </w:r>
      <w:r w:rsidR="00663DD6">
        <w:t xml:space="preserve">17 </w:t>
      </w:r>
      <w:r w:rsidR="00991320">
        <w:t>meetings</w:t>
      </w:r>
      <w:r>
        <w:t>; the Compensation Committee</w:t>
      </w:r>
      <w:r w:rsidR="00991320">
        <w:t xml:space="preserve"> </w:t>
      </w:r>
      <w:r w:rsidR="00663DD6">
        <w:t xml:space="preserve">held seven meetings; </w:t>
      </w:r>
      <w:r>
        <w:t xml:space="preserve">and the </w:t>
      </w:r>
      <w:r w:rsidR="00991320">
        <w:t xml:space="preserve">Corporate Governance &amp; Nominating Committee </w:t>
      </w:r>
      <w:r>
        <w:t xml:space="preserve">held </w:t>
      </w:r>
      <w:r w:rsidR="00663DD6">
        <w:t xml:space="preserve">three </w:t>
      </w:r>
      <w:r w:rsidR="00991320">
        <w:t>meetings</w:t>
      </w:r>
      <w:r w:rsidR="00A83AA5">
        <w:t xml:space="preserve">.  The meetings were held </w:t>
      </w:r>
      <w:r w:rsidR="00991320">
        <w:t>in person or by conference telephone call</w:t>
      </w:r>
      <w:r>
        <w:t xml:space="preserve">.  </w:t>
      </w:r>
      <w:r w:rsidR="006B7891">
        <w:t>During 201</w:t>
      </w:r>
      <w:r w:rsidR="00663DD6">
        <w:t>5</w:t>
      </w:r>
      <w:r w:rsidR="006B7891">
        <w:t>, e</w:t>
      </w:r>
      <w:r>
        <w:t>ach incumbent director attended</w:t>
      </w:r>
      <w:r w:rsidR="00E23AC1">
        <w:t>,</w:t>
      </w:r>
      <w:r>
        <w:t xml:space="preserve"> </w:t>
      </w:r>
      <w:r w:rsidR="007E096D">
        <w:t xml:space="preserve">in the aggregate, </w:t>
      </w:r>
      <w:r w:rsidR="00663DD6">
        <w:t xml:space="preserve">at least </w:t>
      </w:r>
      <w:r w:rsidR="00991320">
        <w:t>9</w:t>
      </w:r>
      <w:r w:rsidR="00663DD6">
        <w:t>0</w:t>
      </w:r>
      <w:r w:rsidR="006B7891">
        <w:t xml:space="preserve">% </w:t>
      </w:r>
      <w:r w:rsidR="006B7891" w:rsidRPr="006B7891">
        <w:t xml:space="preserve">of the meetings of the Board and </w:t>
      </w:r>
      <w:r w:rsidR="006B7891">
        <w:t xml:space="preserve">of </w:t>
      </w:r>
      <w:r w:rsidR="006B7891" w:rsidRPr="006B7891">
        <w:t xml:space="preserve">the committees on which </w:t>
      </w:r>
      <w:r w:rsidR="00237AA0">
        <w:t xml:space="preserve">he or she </w:t>
      </w:r>
      <w:r w:rsidR="006B7891" w:rsidRPr="006B7891">
        <w:t>serve</w:t>
      </w:r>
      <w:r w:rsidR="006B7891">
        <w:t>d</w:t>
      </w:r>
      <w:r>
        <w:t xml:space="preserve">.  All directors attended last year’s Annual Meeting of Stockholders in person.  The Company's policy is to schedule the Annual Meeting of Stockholders to coincide with a regular Board meeting so that directors can attend the Annual Meeting without the Company incurring </w:t>
      </w:r>
      <w:r w:rsidR="007E096D">
        <w:t xml:space="preserve">the </w:t>
      </w:r>
      <w:r>
        <w:t>extra travel and related expenses</w:t>
      </w:r>
      <w:r w:rsidR="007E096D">
        <w:t xml:space="preserve"> of a separate meeting</w:t>
      </w:r>
      <w:r>
        <w:t xml:space="preserve">.  </w:t>
      </w:r>
    </w:p>
    <w:p w:rsidR="00341F71" w:rsidRDefault="005137A7" w:rsidP="00890B3A">
      <w:pPr>
        <w:keepNext/>
        <w:widowControl/>
        <w:spacing w:after="40"/>
        <w:jc w:val="left"/>
      </w:pPr>
      <w:bookmarkStart w:id="54" w:name="_Toc445739565"/>
      <w:bookmarkEnd w:id="51"/>
      <w:r>
        <w:rPr>
          <w:rStyle w:val="003ProxyChar"/>
        </w:rPr>
        <w:t>Stock Ownership Guidelines &amp; Policies</w:t>
      </w:r>
      <w:bookmarkEnd w:id="54"/>
      <w:r w:rsidR="00341F71">
        <w:t xml:space="preserve">.  </w:t>
      </w:r>
    </w:p>
    <w:p w:rsidR="00341F71" w:rsidRPr="00573BCF" w:rsidRDefault="00B61983" w:rsidP="00890B3A">
      <w:pPr>
        <w:pStyle w:val="ListParagraph"/>
        <w:keepNext/>
        <w:widowControl/>
        <w:numPr>
          <w:ilvl w:val="0"/>
          <w:numId w:val="26"/>
        </w:numPr>
        <w:spacing w:after="60"/>
        <w:contextualSpacing w:val="0"/>
        <w:jc w:val="left"/>
      </w:pPr>
      <w:r w:rsidRPr="00A30EA9">
        <w:rPr>
          <w:i/>
        </w:rPr>
        <w:t>Hedging of Company Stock</w:t>
      </w:r>
      <w:r w:rsidR="005137A7">
        <w:rPr>
          <w:i/>
        </w:rPr>
        <w:t xml:space="preserve">.  </w:t>
      </w:r>
      <w:r w:rsidR="005137A7" w:rsidRPr="00573BCF">
        <w:t>D</w:t>
      </w:r>
      <w:r w:rsidR="00341F71" w:rsidRPr="00573BCF">
        <w:t>irectors, executive officers, officers of the Company's majority-owned subsidiaries, as well as any employee of the Company or its subsidiaries to whom the Company has awarded shares of common stock,</w:t>
      </w:r>
      <w:r w:rsidR="00B46B51">
        <w:t xml:space="preserve"> are prohibited</w:t>
      </w:r>
      <w:r w:rsidR="00341F71" w:rsidRPr="00573BCF">
        <w:t xml:space="preserve"> from hedging the value of their shares, however acquired.  </w:t>
      </w:r>
    </w:p>
    <w:p w:rsidR="0011469F" w:rsidRPr="00573BCF" w:rsidRDefault="0011469F" w:rsidP="00890B3A">
      <w:pPr>
        <w:pStyle w:val="ListParagraph"/>
        <w:widowControl/>
        <w:numPr>
          <w:ilvl w:val="0"/>
          <w:numId w:val="26"/>
        </w:numPr>
        <w:spacing w:after="60"/>
        <w:contextualSpacing w:val="0"/>
        <w:jc w:val="left"/>
      </w:pPr>
      <w:r w:rsidRPr="00573BCF">
        <w:rPr>
          <w:i/>
        </w:rPr>
        <w:t xml:space="preserve">Pledging </w:t>
      </w:r>
      <w:r w:rsidR="00845699" w:rsidRPr="00573BCF">
        <w:rPr>
          <w:i/>
        </w:rPr>
        <w:t xml:space="preserve">Shares </w:t>
      </w:r>
      <w:r w:rsidR="00095431" w:rsidRPr="00573BCF">
        <w:rPr>
          <w:i/>
        </w:rPr>
        <w:t xml:space="preserve">&amp; </w:t>
      </w:r>
      <w:r w:rsidRPr="00573BCF">
        <w:rPr>
          <w:i/>
        </w:rPr>
        <w:t>Share Retention</w:t>
      </w:r>
      <w:r w:rsidRPr="00573BCF">
        <w:t>.  Th</w:t>
      </w:r>
      <w:r w:rsidR="00C70984" w:rsidRPr="00573BCF">
        <w:t>is</w:t>
      </w:r>
      <w:r w:rsidRPr="00573BCF">
        <w:t xml:space="preserve"> </w:t>
      </w:r>
      <w:r w:rsidR="00341F71" w:rsidRPr="00573BCF">
        <w:t xml:space="preserve">policy prohibits </w:t>
      </w:r>
      <w:r w:rsidR="00AC55CD" w:rsidRPr="00573BCF">
        <w:t xml:space="preserve">officers from selling </w:t>
      </w:r>
      <w:r w:rsidR="00341F71" w:rsidRPr="00573BCF">
        <w:t xml:space="preserve">or pledging </w:t>
      </w:r>
      <w:r w:rsidR="00AC55CD" w:rsidRPr="00573BCF">
        <w:t xml:space="preserve">their </w:t>
      </w:r>
      <w:r w:rsidR="00341F71" w:rsidRPr="00573BCF">
        <w:t>shares of the Company's stock if</w:t>
      </w:r>
      <w:r w:rsidR="00AC55CD" w:rsidRPr="00573BCF">
        <w:t>,</w:t>
      </w:r>
      <w:r w:rsidR="00341F71" w:rsidRPr="00573BCF">
        <w:t xml:space="preserve"> after giving effect to the sale or pledge, the market value of the number of unpledged shares then held by the </w:t>
      </w:r>
      <w:r w:rsidR="00AC55CD" w:rsidRPr="00573BCF">
        <w:t xml:space="preserve">officer </w:t>
      </w:r>
      <w:r w:rsidR="00341F71" w:rsidRPr="00573BCF">
        <w:t xml:space="preserve">would be </w:t>
      </w:r>
      <w:r w:rsidRPr="00573BCF">
        <w:t>—</w:t>
      </w:r>
    </w:p>
    <w:p w:rsidR="0011469F" w:rsidRPr="00573BCF" w:rsidRDefault="0011469F" w:rsidP="00630F01">
      <w:pPr>
        <w:widowControl/>
        <w:spacing w:after="60"/>
        <w:ind w:left="990"/>
        <w:jc w:val="left"/>
      </w:pPr>
      <w:r w:rsidRPr="00573BCF">
        <w:t>For the Chief Executive Officer</w:t>
      </w:r>
      <w:r w:rsidR="00F908E3" w:rsidRPr="00573BCF">
        <w:t>,</w:t>
      </w:r>
      <w:r w:rsidRPr="00573BCF">
        <w:t xml:space="preserve"> </w:t>
      </w:r>
      <w:r w:rsidR="00341F71" w:rsidRPr="00573BCF">
        <w:t>less than two times his or her annualized base salary</w:t>
      </w:r>
      <w:r w:rsidRPr="00573BCF">
        <w:t>;</w:t>
      </w:r>
    </w:p>
    <w:p w:rsidR="00F908E3" w:rsidRPr="00573BCF" w:rsidRDefault="0011469F" w:rsidP="00630F01">
      <w:pPr>
        <w:widowControl/>
        <w:spacing w:after="60"/>
        <w:ind w:left="990"/>
        <w:jc w:val="left"/>
      </w:pPr>
      <w:r w:rsidRPr="00573BCF">
        <w:t xml:space="preserve">For </w:t>
      </w:r>
      <w:r w:rsidR="00341F71" w:rsidRPr="00573BCF">
        <w:t>executive officer</w:t>
      </w:r>
      <w:r w:rsidRPr="00573BCF">
        <w:t xml:space="preserve">s (including the named executive officers) </w:t>
      </w:r>
      <w:r w:rsidR="00F908E3" w:rsidRPr="00573BCF">
        <w:t>less than two times his or her annualized base salary; and</w:t>
      </w:r>
    </w:p>
    <w:p w:rsidR="00F908E3" w:rsidRPr="00573BCF" w:rsidRDefault="00F908E3" w:rsidP="00630F01">
      <w:pPr>
        <w:widowControl/>
        <w:spacing w:after="60"/>
        <w:ind w:left="990"/>
        <w:jc w:val="left"/>
      </w:pPr>
      <w:r w:rsidRPr="00573BCF">
        <w:t xml:space="preserve">For </w:t>
      </w:r>
      <w:r w:rsidR="00341F71" w:rsidRPr="00573BCF">
        <w:t>officer</w:t>
      </w:r>
      <w:r w:rsidRPr="00573BCF">
        <w:t>s</w:t>
      </w:r>
      <w:r w:rsidR="00341F71" w:rsidRPr="00573BCF">
        <w:t xml:space="preserve"> of majority-owned subsidiar</w:t>
      </w:r>
      <w:r w:rsidRPr="00573BCF">
        <w:t>ies, less than one times his or her annualized base salary</w:t>
      </w:r>
      <w:r w:rsidR="00341F71" w:rsidRPr="00573BCF">
        <w:t xml:space="preserve">.  </w:t>
      </w:r>
    </w:p>
    <w:p w:rsidR="00341F71" w:rsidRPr="00573BCF" w:rsidRDefault="00341F71" w:rsidP="00890B3A">
      <w:pPr>
        <w:widowControl/>
        <w:spacing w:after="60"/>
        <w:ind w:left="720"/>
        <w:jc w:val="left"/>
      </w:pPr>
      <w:r w:rsidRPr="00573BCF">
        <w:t>The policy does not apply to stock purchased in the open market prior to January 1, 2011.</w:t>
      </w:r>
    </w:p>
    <w:p w:rsidR="005F785C" w:rsidRDefault="00095431" w:rsidP="005F785C">
      <w:pPr>
        <w:pStyle w:val="ListParagraph"/>
        <w:widowControl/>
        <w:numPr>
          <w:ilvl w:val="0"/>
          <w:numId w:val="26"/>
        </w:numPr>
        <w:spacing w:after="60"/>
        <w:contextualSpacing w:val="0"/>
        <w:jc w:val="left"/>
      </w:pPr>
      <w:r w:rsidRPr="00573BCF">
        <w:rPr>
          <w:i/>
        </w:rPr>
        <w:lastRenderedPageBreak/>
        <w:t>Directors</w:t>
      </w:r>
      <w:r w:rsidRPr="00573BCF">
        <w:rPr>
          <w:rStyle w:val="003ProxyChar"/>
          <w:b w:val="0"/>
        </w:rPr>
        <w:t>.</w:t>
      </w:r>
      <w:r w:rsidRPr="00573BCF">
        <w:t xml:space="preserve">  </w:t>
      </w:r>
      <w:r w:rsidR="005F785C">
        <w:t xml:space="preserve">Under the Board Governance Guidelines, within five years of initial election to the Board, each non-employee director is expected to own shares of the Company's common stock equal in value to five times the annual cash retainer payable to directors.  Market value is determined by the acquisition price or the closing market price at the time of acquisition, as the case may be.  </w:t>
      </w:r>
      <w:r w:rsidR="005A2B12">
        <w:t xml:space="preserve">See the section below entitled </w:t>
      </w:r>
      <w:r w:rsidR="005A2B12" w:rsidRPr="005A2B12">
        <w:rPr>
          <w:i/>
        </w:rPr>
        <w:t>Director Compensation</w:t>
      </w:r>
      <w:r w:rsidR="005A2B12">
        <w:t xml:space="preserve">.  </w:t>
      </w:r>
      <w:r w:rsidR="004F19D5">
        <w:t xml:space="preserve">All directors with five or more years of service on the Board have met this requirement.  </w:t>
      </w:r>
    </w:p>
    <w:p w:rsidR="00341F71" w:rsidRPr="00573BCF" w:rsidRDefault="005F785C" w:rsidP="005F785C">
      <w:pPr>
        <w:pStyle w:val="ListParagraph"/>
        <w:widowControl/>
        <w:contextualSpacing w:val="0"/>
        <w:jc w:val="left"/>
      </w:pPr>
      <w:r>
        <w:t xml:space="preserve">In the event of an increase in the annual retainer, the Corporate Governance &amp; Nominating Committee will review this guideline to determine if there is a need for a change to reflect the increase.  </w:t>
      </w:r>
    </w:p>
    <w:p w:rsidR="001A1A99" w:rsidRDefault="001A1A99" w:rsidP="00C0362F">
      <w:pPr>
        <w:widowControl/>
        <w:jc w:val="left"/>
      </w:pPr>
      <w:bookmarkStart w:id="55" w:name="_Toc445739566"/>
      <w:bookmarkStart w:id="56" w:name="_Toc381354123"/>
      <w:bookmarkEnd w:id="52"/>
      <w:r w:rsidRPr="00C0362F">
        <w:rPr>
          <w:rStyle w:val="003ProxyChar"/>
        </w:rPr>
        <w:t>Claw-Back Policy</w:t>
      </w:r>
      <w:bookmarkEnd w:id="55"/>
      <w:r>
        <w:t xml:space="preserve">. </w:t>
      </w:r>
      <w:r w:rsidRPr="00C70984">
        <w:t xml:space="preserve"> </w:t>
      </w:r>
      <w:r w:rsidR="003F06F2">
        <w:t>The Company's Claw-Back P</w:t>
      </w:r>
      <w:r>
        <w:t xml:space="preserve">olicy </w:t>
      </w:r>
      <w:r w:rsidRPr="00C70984">
        <w:t xml:space="preserve">applies to all </w:t>
      </w:r>
      <w:r w:rsidR="00637A68">
        <w:t xml:space="preserve">bonuses, </w:t>
      </w:r>
      <w:r w:rsidRPr="00C70984">
        <w:t xml:space="preserve">incentive </w:t>
      </w:r>
      <w:r w:rsidR="00637A68">
        <w:t xml:space="preserve">compensation </w:t>
      </w:r>
      <w:r w:rsidR="00EE68CF">
        <w:t xml:space="preserve">and </w:t>
      </w:r>
      <w:r w:rsidR="00637A68">
        <w:t xml:space="preserve">the </w:t>
      </w:r>
      <w:r w:rsidR="00EE68CF">
        <w:t xml:space="preserve">like </w:t>
      </w:r>
      <w:r w:rsidRPr="006F6CCF">
        <w:t>that has been paid to an employee of the Company (</w:t>
      </w:r>
      <w:r w:rsidR="00D46C23">
        <w:t>whether</w:t>
      </w:r>
      <w:r w:rsidRPr="006F6CCF">
        <w:t xml:space="preserve"> in cash</w:t>
      </w:r>
      <w:r w:rsidR="00D46C23">
        <w:t>,</w:t>
      </w:r>
      <w:r w:rsidRPr="006F6CCF">
        <w:t xml:space="preserve"> in </w:t>
      </w:r>
      <w:r w:rsidR="00D46C23">
        <w:t>equity</w:t>
      </w:r>
      <w:r w:rsidRPr="006F6CCF">
        <w:t>, or both) that was based on financial statements that are subsequently restated</w:t>
      </w:r>
      <w:r>
        <w:t xml:space="preserve">. </w:t>
      </w:r>
      <w:r w:rsidRPr="006F6CCF">
        <w:t xml:space="preserve"> </w:t>
      </w:r>
      <w:r>
        <w:t>I</w:t>
      </w:r>
      <w:r w:rsidRPr="006F6CCF">
        <w:t xml:space="preserve">f necessary, </w:t>
      </w:r>
      <w:r>
        <w:t>the compensation is</w:t>
      </w:r>
      <w:r w:rsidRPr="006F6CCF">
        <w:t xml:space="preserve"> adjusted so that the employee will have received no more and no less than the amount that he or she would have received had the financial statements been restated before the amount of the </w:t>
      </w:r>
      <w:r w:rsidR="00EE68CF">
        <w:t>c</w:t>
      </w:r>
      <w:r w:rsidRPr="006F6CCF">
        <w:t>ompensation was determined</w:t>
      </w:r>
      <w:r w:rsidRPr="00C70984">
        <w:t>.</w:t>
      </w:r>
      <w:r>
        <w:t xml:space="preserve">  Th</w:t>
      </w:r>
      <w:r w:rsidR="007F66B4">
        <w:t>e</w:t>
      </w:r>
      <w:r>
        <w:t xml:space="preserve"> policy applies to all </w:t>
      </w:r>
      <w:r w:rsidR="00637A68">
        <w:t xml:space="preserve">such </w:t>
      </w:r>
      <w:r>
        <w:t>compensation paid to an employee</w:t>
      </w:r>
      <w:r w:rsidR="008A6458">
        <w:t>,</w:t>
      </w:r>
      <w:r>
        <w:t xml:space="preserve"> </w:t>
      </w:r>
      <w:r w:rsidRPr="00395CE3">
        <w:t>whether or not the employee was culpable with respect to the error, event, act or omission that caused the restatement to be made</w:t>
      </w:r>
      <w:r>
        <w:t xml:space="preserve">.  </w:t>
      </w:r>
    </w:p>
    <w:p w:rsidR="00555916" w:rsidRDefault="00555916" w:rsidP="00C0362F">
      <w:pPr>
        <w:widowControl/>
        <w:jc w:val="left"/>
      </w:pPr>
      <w:bookmarkStart w:id="57" w:name="_Toc445739567"/>
      <w:r w:rsidRPr="00555916">
        <w:rPr>
          <w:rStyle w:val="003ProxyChar"/>
        </w:rPr>
        <w:t>Board Evaluations</w:t>
      </w:r>
      <w:bookmarkEnd w:id="57"/>
      <w:r w:rsidRPr="00555916">
        <w:t xml:space="preserve">.  </w:t>
      </w:r>
      <w:r w:rsidR="008A6458">
        <w:t>Directors</w:t>
      </w:r>
      <w:r>
        <w:t xml:space="preserve"> conduct a</w:t>
      </w:r>
      <w:r w:rsidR="00E563C3">
        <w:t>n annual</w:t>
      </w:r>
      <w:r w:rsidR="00180FC3">
        <w:t xml:space="preserve"> </w:t>
      </w:r>
      <w:r>
        <w:t>evaluation of the performance</w:t>
      </w:r>
      <w:r w:rsidR="008A6458">
        <w:t xml:space="preserve"> of the Board and its committees</w:t>
      </w:r>
      <w:r w:rsidR="00180FC3">
        <w:t>.  Q</w:t>
      </w:r>
      <w:r>
        <w:t xml:space="preserve">uestionnaires </w:t>
      </w:r>
      <w:r w:rsidR="00180FC3">
        <w:t xml:space="preserve">are sent </w:t>
      </w:r>
      <w:r>
        <w:t>to each Board member and committee member.  Replies are anonymous and are collected and summarized by the Chair of the Corporate Governance &amp; Nominating Committee</w:t>
      </w:r>
      <w:r w:rsidR="003A7EFC">
        <w:t xml:space="preserve">.  The summary is then </w:t>
      </w:r>
      <w:r>
        <w:t>disc</w:t>
      </w:r>
      <w:r w:rsidR="00C14150">
        <w:t xml:space="preserve">ussed by </w:t>
      </w:r>
      <w:r w:rsidR="003A7EFC">
        <w:t xml:space="preserve">the </w:t>
      </w:r>
      <w:r w:rsidR="00C14150">
        <w:t>independent directors i</w:t>
      </w:r>
      <w:r>
        <w:t>n an executive session</w:t>
      </w:r>
      <w:r w:rsidR="005F4379">
        <w:t xml:space="preserve"> held for the purpose</w:t>
      </w:r>
      <w:r>
        <w:t xml:space="preserve">.  Any </w:t>
      </w:r>
      <w:r w:rsidR="00CA363E">
        <w:t xml:space="preserve">areas of Board or committee performance that are identified as needing </w:t>
      </w:r>
      <w:r>
        <w:t xml:space="preserve">improvement or change </w:t>
      </w:r>
      <w:r w:rsidR="00CA363E">
        <w:t xml:space="preserve">are considered by the </w:t>
      </w:r>
      <w:r>
        <w:t>Corporate Governance &amp; Nominating Committee</w:t>
      </w:r>
      <w:r w:rsidR="00CA363E">
        <w:t xml:space="preserve">, which then </w:t>
      </w:r>
      <w:r w:rsidR="00060431">
        <w:t xml:space="preserve">makes a recommendation </w:t>
      </w:r>
      <w:r w:rsidR="00CA363E">
        <w:t xml:space="preserve">to the Board </w:t>
      </w:r>
      <w:r w:rsidR="00060431">
        <w:t xml:space="preserve">on </w:t>
      </w:r>
      <w:r w:rsidR="003A7EFC">
        <w:t>the matter</w:t>
      </w:r>
      <w:r>
        <w:t>.</w:t>
      </w:r>
    </w:p>
    <w:p w:rsidR="00555916" w:rsidRPr="005F785C" w:rsidRDefault="005F785C" w:rsidP="00C0362F">
      <w:r>
        <w:t>In addition, t</w:t>
      </w:r>
      <w:r w:rsidRPr="005F785C">
        <w:t xml:space="preserve">he Chair of the Corporate Governance &amp; Nominating Committee confers each year with each director individually to solicit comments about nominations for election and re-election to the Board, and to permit each director to express any concerns about the functioning of the Board, its committees and its members.  Any comments a director may have about the Corporate Governance &amp; Nominating Committee and its Chair are directed to the Chairman of the Board.  </w:t>
      </w:r>
    </w:p>
    <w:p w:rsidR="009D13C2" w:rsidRDefault="000253B6" w:rsidP="00890B3A">
      <w:pPr>
        <w:widowControl/>
        <w:spacing w:after="60"/>
        <w:jc w:val="left"/>
      </w:pPr>
      <w:bookmarkStart w:id="58" w:name="_Toc445739568"/>
      <w:r w:rsidRPr="00CC2F7B">
        <w:rPr>
          <w:rStyle w:val="003ProxyChar"/>
        </w:rPr>
        <w:t>The Board's Risk Oversight</w:t>
      </w:r>
      <w:bookmarkEnd w:id="56"/>
      <w:bookmarkEnd w:id="58"/>
      <w:r>
        <w:t xml:space="preserve">.  </w:t>
      </w:r>
      <w:r w:rsidR="009A6A8D">
        <w:t>Directors</w:t>
      </w:r>
      <w:r>
        <w:t xml:space="preserve"> </w:t>
      </w:r>
      <w:r w:rsidR="009A6A8D">
        <w:t>identify</w:t>
      </w:r>
      <w:r w:rsidR="00F807D2">
        <w:t xml:space="preserve"> and </w:t>
      </w:r>
      <w:r w:rsidR="009A6A8D">
        <w:t>exercise</w:t>
      </w:r>
      <w:r>
        <w:t xml:space="preserve"> oversight of the Company's </w:t>
      </w:r>
      <w:r w:rsidR="00F807D2">
        <w:t xml:space="preserve">material </w:t>
      </w:r>
      <w:r>
        <w:t>risks</w:t>
      </w:r>
      <w:r w:rsidR="00F807D2">
        <w:t xml:space="preserve"> acting</w:t>
      </w:r>
      <w:r>
        <w:t xml:space="preserve"> </w:t>
      </w:r>
      <w:r w:rsidR="00F807D2">
        <w:t xml:space="preserve">as the whole Board as well as </w:t>
      </w:r>
      <w:r w:rsidR="00193FBD">
        <w:t xml:space="preserve">through </w:t>
      </w:r>
      <w:r w:rsidR="00F807D2">
        <w:t xml:space="preserve">its </w:t>
      </w:r>
      <w:r>
        <w:t xml:space="preserve">three standing committees.  </w:t>
      </w:r>
      <w:r w:rsidR="000370F0">
        <w:t>At each of the Board's regularly-scheduled</w:t>
      </w:r>
      <w:r w:rsidR="00EC3574">
        <w:t xml:space="preserve"> </w:t>
      </w:r>
      <w:r w:rsidR="000370F0">
        <w:t xml:space="preserve">meetings, directors receive a briefing </w:t>
      </w:r>
      <w:r w:rsidR="00275E44">
        <w:t xml:space="preserve">and an assessment of </w:t>
      </w:r>
      <w:r w:rsidR="000370F0">
        <w:t xml:space="preserve">the Company's risks </w:t>
      </w:r>
      <w:r w:rsidR="009D13C2">
        <w:t>as they relate to:</w:t>
      </w:r>
    </w:p>
    <w:p w:rsidR="0043523B" w:rsidRDefault="0043523B" w:rsidP="0043523B">
      <w:pPr>
        <w:pStyle w:val="ListParagraph"/>
        <w:keepNext/>
        <w:widowControl/>
        <w:numPr>
          <w:ilvl w:val="0"/>
          <w:numId w:val="20"/>
        </w:numPr>
        <w:spacing w:after="0"/>
        <w:contextualSpacing w:val="0"/>
        <w:jc w:val="left"/>
      </w:pPr>
      <w:r>
        <w:t>Safety</w:t>
      </w:r>
    </w:p>
    <w:p w:rsidR="00E761DF" w:rsidRDefault="00E761DF" w:rsidP="00E761DF">
      <w:pPr>
        <w:pStyle w:val="ListParagraph"/>
        <w:keepNext/>
        <w:widowControl/>
        <w:numPr>
          <w:ilvl w:val="0"/>
          <w:numId w:val="20"/>
        </w:numPr>
        <w:spacing w:after="0"/>
        <w:contextualSpacing w:val="0"/>
        <w:jc w:val="left"/>
      </w:pPr>
      <w:r>
        <w:t>Crisis management</w:t>
      </w:r>
    </w:p>
    <w:p w:rsidR="00E761DF" w:rsidRDefault="00E761DF" w:rsidP="00E761DF">
      <w:pPr>
        <w:pStyle w:val="ListParagraph"/>
        <w:keepNext/>
        <w:widowControl/>
        <w:numPr>
          <w:ilvl w:val="0"/>
          <w:numId w:val="20"/>
        </w:numPr>
        <w:spacing w:after="0"/>
        <w:contextualSpacing w:val="0"/>
        <w:jc w:val="left"/>
      </w:pPr>
      <w:r>
        <w:t>Construction joint ventures</w:t>
      </w:r>
    </w:p>
    <w:p w:rsidR="0043523B" w:rsidRDefault="0043523B" w:rsidP="0043523B">
      <w:pPr>
        <w:pStyle w:val="ListParagraph"/>
        <w:keepNext/>
        <w:widowControl/>
        <w:numPr>
          <w:ilvl w:val="0"/>
          <w:numId w:val="20"/>
        </w:numPr>
        <w:spacing w:after="0"/>
        <w:contextualSpacing w:val="0"/>
        <w:jc w:val="left"/>
      </w:pPr>
      <w:r>
        <w:t>Information technology</w:t>
      </w:r>
    </w:p>
    <w:p w:rsidR="00E761DF" w:rsidRDefault="00E761DF" w:rsidP="00E761DF">
      <w:pPr>
        <w:pStyle w:val="ListParagraph"/>
        <w:keepNext/>
        <w:widowControl/>
        <w:numPr>
          <w:ilvl w:val="0"/>
          <w:numId w:val="20"/>
        </w:numPr>
        <w:spacing w:after="0"/>
        <w:contextualSpacing w:val="0"/>
        <w:jc w:val="left"/>
      </w:pPr>
      <w:r>
        <w:t>Compensation</w:t>
      </w:r>
    </w:p>
    <w:p w:rsidR="00D72AE3" w:rsidRDefault="00D72AE3">
      <w:pPr>
        <w:widowControl/>
        <w:spacing w:after="0"/>
        <w:jc w:val="left"/>
        <w:rPr>
          <w:i/>
        </w:rPr>
      </w:pPr>
      <w:r>
        <w:rPr>
          <w:i/>
        </w:rPr>
        <w:br w:type="page"/>
      </w:r>
    </w:p>
    <w:p w:rsidR="00541AB5" w:rsidRDefault="009F0272" w:rsidP="00FE5051">
      <w:pPr>
        <w:widowControl/>
        <w:spacing w:before="100" w:after="200"/>
        <w:jc w:val="left"/>
      </w:pPr>
      <w:r w:rsidRPr="0057665F">
        <w:rPr>
          <w:i/>
        </w:rPr>
        <w:lastRenderedPageBreak/>
        <w:t>Risk Oversight by Board Committees</w:t>
      </w:r>
      <w:r>
        <w:rPr>
          <w:i/>
        </w:rPr>
        <w:t>.</w:t>
      </w:r>
      <w:r w:rsidR="00F807D2">
        <w:t xml:space="preserve">  Each standing committee of the Board shares the risk oversight responsibility </w:t>
      </w:r>
      <w:r w:rsidR="00EB3E65">
        <w:t xml:space="preserve">as </w:t>
      </w:r>
      <w:r w:rsidR="00F807D2">
        <w:t>shown in the table below:</w:t>
      </w:r>
    </w:p>
    <w:tbl>
      <w:tblPr>
        <w:tblStyle w:val="TableGrid"/>
        <w:tblW w:w="879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365"/>
        <w:gridCol w:w="2565"/>
        <w:gridCol w:w="283"/>
        <w:gridCol w:w="2372"/>
        <w:gridCol w:w="294"/>
        <w:gridCol w:w="2568"/>
        <w:gridCol w:w="343"/>
      </w:tblGrid>
      <w:tr w:rsidR="005C1DE0" w:rsidTr="008D3A64">
        <w:trPr>
          <w:cantSplit/>
          <w:trHeight w:hRule="exact" w:val="72"/>
          <w:jc w:val="center"/>
        </w:trPr>
        <w:tc>
          <w:tcPr>
            <w:tcW w:w="365" w:type="dxa"/>
          </w:tcPr>
          <w:p w:rsidR="005C1DE0" w:rsidRDefault="005C1DE0" w:rsidP="00F807D2">
            <w:pPr>
              <w:keepNext/>
              <w:widowControl/>
              <w:spacing w:after="0"/>
              <w:jc w:val="left"/>
            </w:pPr>
          </w:p>
        </w:tc>
        <w:tc>
          <w:tcPr>
            <w:tcW w:w="2565" w:type="dxa"/>
            <w:shd w:val="clear" w:color="auto" w:fill="auto"/>
            <w:tcMar>
              <w:left w:w="115" w:type="dxa"/>
            </w:tcMar>
          </w:tcPr>
          <w:p w:rsidR="005C1DE0" w:rsidRDefault="005C1DE0" w:rsidP="00510A40">
            <w:pPr>
              <w:spacing w:after="0"/>
              <w:jc w:val="left"/>
            </w:pPr>
          </w:p>
        </w:tc>
        <w:tc>
          <w:tcPr>
            <w:tcW w:w="0" w:type="auto"/>
            <w:shd w:val="clear" w:color="auto" w:fill="auto"/>
          </w:tcPr>
          <w:p w:rsidR="005C1DE0" w:rsidRPr="00543DD2" w:rsidRDefault="005C1DE0" w:rsidP="00510A40">
            <w:pPr>
              <w:spacing w:after="0"/>
              <w:jc w:val="center"/>
              <w:rPr>
                <w:b/>
              </w:rPr>
            </w:pPr>
          </w:p>
        </w:tc>
        <w:tc>
          <w:tcPr>
            <w:tcW w:w="0" w:type="auto"/>
            <w:shd w:val="clear" w:color="auto" w:fill="auto"/>
            <w:tcMar>
              <w:top w:w="115" w:type="dxa"/>
              <w:left w:w="115" w:type="dxa"/>
              <w:bottom w:w="115" w:type="dxa"/>
              <w:right w:w="115" w:type="dxa"/>
            </w:tcMar>
          </w:tcPr>
          <w:p w:rsidR="005C1DE0" w:rsidRPr="00543DD2" w:rsidRDefault="005C1DE0" w:rsidP="00510A40">
            <w:pPr>
              <w:spacing w:after="0"/>
              <w:jc w:val="center"/>
              <w:rPr>
                <w:b/>
              </w:rPr>
            </w:pPr>
          </w:p>
        </w:tc>
        <w:tc>
          <w:tcPr>
            <w:tcW w:w="0" w:type="auto"/>
            <w:shd w:val="clear" w:color="auto" w:fill="auto"/>
          </w:tcPr>
          <w:p w:rsidR="005C1DE0" w:rsidRDefault="005C1DE0" w:rsidP="00510A40">
            <w:pPr>
              <w:spacing w:after="0"/>
              <w:jc w:val="left"/>
            </w:pPr>
          </w:p>
        </w:tc>
        <w:tc>
          <w:tcPr>
            <w:tcW w:w="0" w:type="auto"/>
            <w:shd w:val="clear" w:color="auto" w:fill="auto"/>
          </w:tcPr>
          <w:p w:rsidR="005C1DE0" w:rsidRDefault="005C1DE0" w:rsidP="00510A40">
            <w:pPr>
              <w:spacing w:after="0"/>
              <w:jc w:val="left"/>
            </w:pPr>
          </w:p>
        </w:tc>
        <w:tc>
          <w:tcPr>
            <w:tcW w:w="343" w:type="dxa"/>
            <w:shd w:val="clear" w:color="auto" w:fill="auto"/>
          </w:tcPr>
          <w:p w:rsidR="005C1DE0" w:rsidRDefault="005C1DE0" w:rsidP="00F807D2">
            <w:pPr>
              <w:keepNext/>
              <w:widowControl/>
              <w:spacing w:after="0"/>
              <w:jc w:val="left"/>
            </w:pPr>
          </w:p>
        </w:tc>
      </w:tr>
      <w:tr w:rsidR="008E214D" w:rsidTr="00C22D65">
        <w:trPr>
          <w:jc w:val="center"/>
        </w:trPr>
        <w:tc>
          <w:tcPr>
            <w:tcW w:w="365" w:type="dxa"/>
          </w:tcPr>
          <w:p w:rsidR="008E214D" w:rsidRDefault="008E214D" w:rsidP="00193FBD">
            <w:pPr>
              <w:widowControl/>
              <w:spacing w:after="0"/>
              <w:jc w:val="left"/>
            </w:pPr>
          </w:p>
        </w:tc>
        <w:tc>
          <w:tcPr>
            <w:tcW w:w="2565" w:type="dxa"/>
            <w:tcMar>
              <w:left w:w="115" w:type="dxa"/>
            </w:tcMar>
          </w:tcPr>
          <w:p w:rsidR="008E214D" w:rsidRDefault="008E214D" w:rsidP="00193FBD">
            <w:pPr>
              <w:widowControl/>
              <w:spacing w:after="0"/>
              <w:jc w:val="left"/>
            </w:pPr>
          </w:p>
        </w:tc>
        <w:tc>
          <w:tcPr>
            <w:tcW w:w="0" w:type="auto"/>
            <w:shd w:val="clear" w:color="auto" w:fill="FFFFFF" w:themeFill="background1"/>
          </w:tcPr>
          <w:p w:rsidR="008E214D" w:rsidRPr="00543DD2" w:rsidRDefault="008E214D" w:rsidP="00193FBD">
            <w:pPr>
              <w:widowControl/>
              <w:spacing w:after="0"/>
              <w:jc w:val="center"/>
              <w:rPr>
                <w:b/>
              </w:rPr>
            </w:pPr>
          </w:p>
        </w:tc>
        <w:tc>
          <w:tcPr>
            <w:tcW w:w="2372" w:type="dxa"/>
            <w:shd w:val="clear" w:color="auto" w:fill="C6D9F1" w:themeFill="text2" w:themeFillTint="33"/>
            <w:tcMar>
              <w:top w:w="115" w:type="dxa"/>
              <w:left w:w="115" w:type="dxa"/>
              <w:bottom w:w="115" w:type="dxa"/>
              <w:right w:w="115" w:type="dxa"/>
            </w:tcMar>
          </w:tcPr>
          <w:p w:rsidR="008E214D" w:rsidRPr="00543DD2" w:rsidRDefault="008E214D" w:rsidP="00193FBD">
            <w:pPr>
              <w:widowControl/>
              <w:spacing w:after="0"/>
              <w:jc w:val="center"/>
              <w:rPr>
                <w:b/>
              </w:rPr>
            </w:pPr>
            <w:r w:rsidRPr="00543DD2">
              <w:rPr>
                <w:b/>
              </w:rPr>
              <w:t>Board of Directors</w:t>
            </w:r>
          </w:p>
        </w:tc>
        <w:tc>
          <w:tcPr>
            <w:tcW w:w="294" w:type="dxa"/>
          </w:tcPr>
          <w:p w:rsidR="008E214D" w:rsidRDefault="008E214D" w:rsidP="00193FBD">
            <w:pPr>
              <w:widowControl/>
              <w:spacing w:after="0"/>
              <w:jc w:val="left"/>
            </w:pPr>
          </w:p>
        </w:tc>
        <w:tc>
          <w:tcPr>
            <w:tcW w:w="2568" w:type="dxa"/>
          </w:tcPr>
          <w:p w:rsidR="008E214D" w:rsidRDefault="008E214D" w:rsidP="00193FBD">
            <w:pPr>
              <w:widowControl/>
              <w:spacing w:after="0"/>
              <w:jc w:val="left"/>
            </w:pPr>
          </w:p>
        </w:tc>
        <w:tc>
          <w:tcPr>
            <w:tcW w:w="343" w:type="dxa"/>
            <w:shd w:val="clear" w:color="auto" w:fill="auto"/>
          </w:tcPr>
          <w:p w:rsidR="008E214D" w:rsidRDefault="008E214D" w:rsidP="00193FBD">
            <w:pPr>
              <w:widowControl/>
              <w:spacing w:after="0"/>
              <w:jc w:val="left"/>
            </w:pPr>
          </w:p>
        </w:tc>
      </w:tr>
      <w:tr w:rsidR="008E214D" w:rsidTr="008D3A64">
        <w:trPr>
          <w:jc w:val="center"/>
        </w:trPr>
        <w:tc>
          <w:tcPr>
            <w:tcW w:w="365" w:type="dxa"/>
          </w:tcPr>
          <w:p w:rsidR="008E214D" w:rsidRPr="00543DD2" w:rsidRDefault="008E214D" w:rsidP="00193FBD">
            <w:pPr>
              <w:widowControl/>
              <w:spacing w:after="0"/>
              <w:jc w:val="center"/>
              <w:rPr>
                <w:i/>
              </w:rPr>
            </w:pPr>
          </w:p>
        </w:tc>
        <w:tc>
          <w:tcPr>
            <w:tcW w:w="2565" w:type="dxa"/>
            <w:shd w:val="clear" w:color="auto" w:fill="auto"/>
            <w:tcMar>
              <w:top w:w="58" w:type="dxa"/>
              <w:left w:w="115" w:type="dxa"/>
              <w:bottom w:w="58" w:type="dxa"/>
              <w:right w:w="58" w:type="dxa"/>
            </w:tcMar>
            <w:vAlign w:val="bottom"/>
          </w:tcPr>
          <w:p w:rsidR="008E214D" w:rsidRPr="00543DD2" w:rsidRDefault="008E214D" w:rsidP="00193FBD">
            <w:pPr>
              <w:widowControl/>
              <w:spacing w:after="0"/>
              <w:jc w:val="center"/>
              <w:rPr>
                <w:i/>
              </w:rPr>
            </w:pPr>
          </w:p>
        </w:tc>
        <w:tc>
          <w:tcPr>
            <w:tcW w:w="0" w:type="auto"/>
          </w:tcPr>
          <w:p w:rsidR="008E214D" w:rsidRPr="008E214D" w:rsidRDefault="008E214D" w:rsidP="00193FBD">
            <w:pPr>
              <w:widowControl/>
              <w:spacing w:after="0"/>
              <w:jc w:val="left"/>
            </w:pPr>
          </w:p>
        </w:tc>
        <w:tc>
          <w:tcPr>
            <w:tcW w:w="2372" w:type="dxa"/>
            <w:shd w:val="clear" w:color="auto" w:fill="auto"/>
            <w:tcMar>
              <w:top w:w="58" w:type="dxa"/>
              <w:left w:w="58" w:type="dxa"/>
              <w:bottom w:w="58" w:type="dxa"/>
              <w:right w:w="58" w:type="dxa"/>
            </w:tcMar>
            <w:vAlign w:val="bottom"/>
          </w:tcPr>
          <w:p w:rsidR="008E214D" w:rsidRPr="00543DD2" w:rsidRDefault="008E214D" w:rsidP="00193FBD">
            <w:pPr>
              <w:widowControl/>
              <w:spacing w:after="0"/>
              <w:jc w:val="center"/>
              <w:rPr>
                <w:i/>
              </w:rPr>
            </w:pPr>
          </w:p>
        </w:tc>
        <w:tc>
          <w:tcPr>
            <w:tcW w:w="294" w:type="dxa"/>
          </w:tcPr>
          <w:p w:rsidR="008E214D" w:rsidRPr="00543DD2" w:rsidRDefault="008E214D" w:rsidP="00193FBD">
            <w:pPr>
              <w:widowControl/>
              <w:spacing w:after="0"/>
              <w:jc w:val="center"/>
              <w:rPr>
                <w:i/>
              </w:rPr>
            </w:pPr>
          </w:p>
        </w:tc>
        <w:tc>
          <w:tcPr>
            <w:tcW w:w="2568" w:type="dxa"/>
            <w:shd w:val="clear" w:color="auto" w:fill="auto"/>
            <w:tcMar>
              <w:top w:w="58" w:type="dxa"/>
              <w:left w:w="58" w:type="dxa"/>
              <w:bottom w:w="58" w:type="dxa"/>
              <w:right w:w="115" w:type="dxa"/>
            </w:tcMar>
            <w:vAlign w:val="bottom"/>
          </w:tcPr>
          <w:p w:rsidR="008E214D" w:rsidRPr="00543DD2" w:rsidRDefault="008E214D" w:rsidP="00193FBD">
            <w:pPr>
              <w:widowControl/>
              <w:spacing w:after="0"/>
              <w:jc w:val="center"/>
              <w:rPr>
                <w:i/>
              </w:rPr>
            </w:pPr>
          </w:p>
        </w:tc>
        <w:tc>
          <w:tcPr>
            <w:tcW w:w="343" w:type="dxa"/>
            <w:shd w:val="clear" w:color="auto" w:fill="auto"/>
          </w:tcPr>
          <w:p w:rsidR="008E214D" w:rsidRPr="00543DD2" w:rsidRDefault="008E214D" w:rsidP="00193FBD">
            <w:pPr>
              <w:widowControl/>
              <w:spacing w:after="0"/>
              <w:jc w:val="center"/>
              <w:rPr>
                <w:i/>
              </w:rPr>
            </w:pPr>
          </w:p>
        </w:tc>
      </w:tr>
      <w:tr w:rsidR="008E214D" w:rsidTr="00C22D65">
        <w:trPr>
          <w:jc w:val="center"/>
        </w:trPr>
        <w:tc>
          <w:tcPr>
            <w:tcW w:w="365" w:type="dxa"/>
            <w:shd w:val="clear" w:color="auto" w:fill="auto"/>
          </w:tcPr>
          <w:p w:rsidR="008E214D" w:rsidRPr="00543DD2" w:rsidRDefault="008E214D" w:rsidP="00193FBD">
            <w:pPr>
              <w:widowControl/>
              <w:spacing w:after="0"/>
              <w:jc w:val="center"/>
              <w:rPr>
                <w:i/>
              </w:rPr>
            </w:pPr>
          </w:p>
        </w:tc>
        <w:tc>
          <w:tcPr>
            <w:tcW w:w="2565" w:type="dxa"/>
            <w:shd w:val="clear" w:color="auto" w:fill="C6D9F1" w:themeFill="text2" w:themeFillTint="33"/>
            <w:tcMar>
              <w:top w:w="58" w:type="dxa"/>
              <w:left w:w="115" w:type="dxa"/>
              <w:bottom w:w="58" w:type="dxa"/>
              <w:right w:w="58" w:type="dxa"/>
            </w:tcMar>
            <w:vAlign w:val="center"/>
          </w:tcPr>
          <w:p w:rsidR="008E214D" w:rsidRPr="00543DD2" w:rsidRDefault="008E214D" w:rsidP="00193FBD">
            <w:pPr>
              <w:widowControl/>
              <w:spacing w:after="0"/>
              <w:jc w:val="center"/>
              <w:rPr>
                <w:i/>
              </w:rPr>
            </w:pPr>
            <w:r w:rsidRPr="00543DD2">
              <w:rPr>
                <w:i/>
              </w:rPr>
              <w:t>A</w:t>
            </w:r>
            <w:r w:rsidRPr="00C22D65">
              <w:rPr>
                <w:i/>
                <w:shd w:val="clear" w:color="auto" w:fill="C6D9F1" w:themeFill="text2" w:themeFillTint="33"/>
              </w:rPr>
              <w:t>udit Committee</w:t>
            </w:r>
          </w:p>
        </w:tc>
        <w:tc>
          <w:tcPr>
            <w:tcW w:w="0" w:type="auto"/>
            <w:shd w:val="clear" w:color="auto" w:fill="auto"/>
          </w:tcPr>
          <w:p w:rsidR="008E214D" w:rsidRPr="008E214D" w:rsidRDefault="008E214D" w:rsidP="00193FBD">
            <w:pPr>
              <w:widowControl/>
              <w:spacing w:after="0"/>
              <w:jc w:val="left"/>
            </w:pPr>
          </w:p>
        </w:tc>
        <w:tc>
          <w:tcPr>
            <w:tcW w:w="2372" w:type="dxa"/>
            <w:shd w:val="clear" w:color="auto" w:fill="C6D9F1" w:themeFill="text2" w:themeFillTint="33"/>
            <w:tcMar>
              <w:top w:w="58" w:type="dxa"/>
              <w:left w:w="58" w:type="dxa"/>
              <w:bottom w:w="58" w:type="dxa"/>
              <w:right w:w="58" w:type="dxa"/>
            </w:tcMar>
            <w:vAlign w:val="center"/>
          </w:tcPr>
          <w:p w:rsidR="008E214D" w:rsidRPr="00543DD2" w:rsidRDefault="008E214D" w:rsidP="00193FBD">
            <w:pPr>
              <w:widowControl/>
              <w:spacing w:after="0"/>
              <w:jc w:val="center"/>
              <w:rPr>
                <w:i/>
              </w:rPr>
            </w:pPr>
            <w:r w:rsidRPr="00543DD2">
              <w:rPr>
                <w:i/>
              </w:rPr>
              <w:t>Compensation Committee</w:t>
            </w:r>
          </w:p>
        </w:tc>
        <w:tc>
          <w:tcPr>
            <w:tcW w:w="294" w:type="dxa"/>
            <w:shd w:val="clear" w:color="auto" w:fill="auto"/>
          </w:tcPr>
          <w:p w:rsidR="008E214D" w:rsidRPr="00543DD2" w:rsidRDefault="008E214D" w:rsidP="00193FBD">
            <w:pPr>
              <w:widowControl/>
              <w:spacing w:after="0"/>
              <w:jc w:val="center"/>
              <w:rPr>
                <w:i/>
              </w:rPr>
            </w:pPr>
          </w:p>
        </w:tc>
        <w:tc>
          <w:tcPr>
            <w:tcW w:w="2568" w:type="dxa"/>
            <w:shd w:val="clear" w:color="auto" w:fill="C6D9F1" w:themeFill="text2" w:themeFillTint="33"/>
            <w:tcMar>
              <w:top w:w="58" w:type="dxa"/>
              <w:left w:w="58" w:type="dxa"/>
              <w:bottom w:w="58" w:type="dxa"/>
              <w:right w:w="115" w:type="dxa"/>
            </w:tcMar>
            <w:vAlign w:val="center"/>
          </w:tcPr>
          <w:p w:rsidR="008E214D" w:rsidRPr="00543DD2" w:rsidRDefault="008E214D" w:rsidP="00193FBD">
            <w:pPr>
              <w:widowControl/>
              <w:spacing w:after="0"/>
              <w:jc w:val="center"/>
              <w:rPr>
                <w:i/>
              </w:rPr>
            </w:pPr>
            <w:r w:rsidRPr="00543DD2">
              <w:rPr>
                <w:i/>
              </w:rPr>
              <w:t>Corporate Governance &amp; Nominating Committee</w:t>
            </w:r>
          </w:p>
        </w:tc>
        <w:tc>
          <w:tcPr>
            <w:tcW w:w="343" w:type="dxa"/>
            <w:shd w:val="clear" w:color="auto" w:fill="auto"/>
          </w:tcPr>
          <w:p w:rsidR="008E214D" w:rsidRPr="00543DD2" w:rsidRDefault="008E214D" w:rsidP="00193FBD">
            <w:pPr>
              <w:widowControl/>
              <w:spacing w:after="0"/>
              <w:jc w:val="center"/>
              <w:rPr>
                <w:i/>
              </w:rPr>
            </w:pPr>
          </w:p>
        </w:tc>
      </w:tr>
      <w:tr w:rsidR="008E214D" w:rsidTr="008D3A64">
        <w:trPr>
          <w:cantSplit/>
          <w:jc w:val="center"/>
        </w:trPr>
        <w:tc>
          <w:tcPr>
            <w:tcW w:w="365" w:type="dxa"/>
          </w:tcPr>
          <w:p w:rsidR="008E214D" w:rsidRDefault="008E214D" w:rsidP="00193FBD">
            <w:pPr>
              <w:widowControl/>
              <w:spacing w:after="0"/>
              <w:jc w:val="center"/>
            </w:pPr>
          </w:p>
        </w:tc>
        <w:tc>
          <w:tcPr>
            <w:tcW w:w="2565" w:type="dxa"/>
            <w:tcMar>
              <w:left w:w="115" w:type="dxa"/>
              <w:bottom w:w="115" w:type="dxa"/>
            </w:tcMar>
            <w:vAlign w:val="center"/>
          </w:tcPr>
          <w:p w:rsidR="008D3A64" w:rsidRDefault="008E214D" w:rsidP="00193FBD">
            <w:pPr>
              <w:widowControl/>
              <w:spacing w:after="0"/>
              <w:jc w:val="center"/>
            </w:pPr>
            <w:r>
              <w:t xml:space="preserve">Financial </w:t>
            </w:r>
            <w:r w:rsidR="008D3A64">
              <w:t>l</w:t>
            </w:r>
            <w:r>
              <w:t>iquidity</w:t>
            </w:r>
          </w:p>
          <w:p w:rsidR="008E214D" w:rsidRDefault="008D3A64" w:rsidP="00193FBD">
            <w:pPr>
              <w:widowControl/>
              <w:spacing w:after="0"/>
              <w:jc w:val="center"/>
            </w:pPr>
            <w:r>
              <w:t>C</w:t>
            </w:r>
            <w:r w:rsidR="008E214D">
              <w:t>ovenant compliance</w:t>
            </w:r>
          </w:p>
          <w:p w:rsidR="008D3A64" w:rsidRDefault="008E214D" w:rsidP="00193FBD">
            <w:pPr>
              <w:widowControl/>
              <w:spacing w:after="0"/>
              <w:jc w:val="center"/>
            </w:pPr>
            <w:r>
              <w:t>Accounting</w:t>
            </w:r>
          </w:p>
          <w:p w:rsidR="008E214D" w:rsidRDefault="008D3A64" w:rsidP="00193FBD">
            <w:pPr>
              <w:widowControl/>
              <w:spacing w:after="0"/>
              <w:jc w:val="center"/>
            </w:pPr>
            <w:r>
              <w:t>I</w:t>
            </w:r>
            <w:r w:rsidR="008E214D">
              <w:t>nternal</w:t>
            </w:r>
            <w:r>
              <w:t xml:space="preserve"> </w:t>
            </w:r>
            <w:r w:rsidR="008E214D">
              <w:t>controls</w:t>
            </w:r>
          </w:p>
          <w:p w:rsidR="008E214D" w:rsidRDefault="008E214D" w:rsidP="00193FBD">
            <w:pPr>
              <w:widowControl/>
              <w:spacing w:after="0"/>
              <w:jc w:val="center"/>
            </w:pPr>
            <w:r>
              <w:t>Legal</w:t>
            </w:r>
            <w:r w:rsidR="008D3A64">
              <w:t xml:space="preserve"> compliance</w:t>
            </w:r>
          </w:p>
          <w:p w:rsidR="008E214D" w:rsidRDefault="008E214D" w:rsidP="00193FBD">
            <w:pPr>
              <w:widowControl/>
              <w:spacing w:after="0"/>
              <w:jc w:val="center"/>
            </w:pPr>
            <w:r>
              <w:t>Related-party transaction</w:t>
            </w:r>
            <w:r w:rsidR="008D3A64">
              <w:t>s</w:t>
            </w:r>
            <w:r>
              <w:t xml:space="preserve"> </w:t>
            </w:r>
          </w:p>
        </w:tc>
        <w:tc>
          <w:tcPr>
            <w:tcW w:w="0" w:type="auto"/>
            <w:shd w:val="clear" w:color="auto" w:fill="auto"/>
            <w:tcMar>
              <w:bottom w:w="115" w:type="dxa"/>
            </w:tcMar>
          </w:tcPr>
          <w:p w:rsidR="008E214D" w:rsidRDefault="008E214D" w:rsidP="00193FBD">
            <w:pPr>
              <w:widowControl/>
              <w:spacing w:after="0"/>
              <w:jc w:val="center"/>
            </w:pPr>
          </w:p>
        </w:tc>
        <w:tc>
          <w:tcPr>
            <w:tcW w:w="2372" w:type="dxa"/>
            <w:tcMar>
              <w:bottom w:w="115" w:type="dxa"/>
            </w:tcMar>
          </w:tcPr>
          <w:p w:rsidR="008E214D" w:rsidRDefault="008E214D" w:rsidP="00193FBD">
            <w:pPr>
              <w:widowControl/>
              <w:spacing w:after="0"/>
              <w:jc w:val="center"/>
            </w:pPr>
            <w:r>
              <w:t xml:space="preserve">Executive compensation </w:t>
            </w:r>
          </w:p>
          <w:p w:rsidR="008E214D" w:rsidRDefault="008D3A64" w:rsidP="00193FBD">
            <w:pPr>
              <w:widowControl/>
              <w:spacing w:after="0"/>
              <w:jc w:val="center"/>
            </w:pPr>
            <w:r>
              <w:t>I</w:t>
            </w:r>
            <w:r w:rsidR="008E214D">
              <w:t xml:space="preserve">ncentive compensation </w:t>
            </w:r>
          </w:p>
        </w:tc>
        <w:tc>
          <w:tcPr>
            <w:tcW w:w="294" w:type="dxa"/>
            <w:shd w:val="clear" w:color="auto" w:fill="auto"/>
            <w:tcMar>
              <w:bottom w:w="115" w:type="dxa"/>
            </w:tcMar>
          </w:tcPr>
          <w:p w:rsidR="008E214D" w:rsidRDefault="008E214D" w:rsidP="00193FBD">
            <w:pPr>
              <w:widowControl/>
              <w:spacing w:after="0"/>
              <w:jc w:val="center"/>
            </w:pPr>
          </w:p>
        </w:tc>
        <w:tc>
          <w:tcPr>
            <w:tcW w:w="2568" w:type="dxa"/>
            <w:tcMar>
              <w:bottom w:w="115" w:type="dxa"/>
              <w:right w:w="115" w:type="dxa"/>
            </w:tcMar>
          </w:tcPr>
          <w:p w:rsidR="008E214D" w:rsidRDefault="00641EA4" w:rsidP="00193FBD">
            <w:pPr>
              <w:widowControl/>
              <w:spacing w:after="0"/>
              <w:jc w:val="center"/>
            </w:pPr>
            <w:r>
              <w:t>Board organization</w:t>
            </w:r>
          </w:p>
          <w:p w:rsidR="008E214D" w:rsidRDefault="008E214D" w:rsidP="00193FBD">
            <w:pPr>
              <w:widowControl/>
              <w:spacing w:after="0"/>
              <w:jc w:val="center"/>
            </w:pPr>
            <w:r>
              <w:t>Board membership</w:t>
            </w:r>
          </w:p>
          <w:p w:rsidR="008E214D" w:rsidRDefault="008D3A64" w:rsidP="00193FBD">
            <w:pPr>
              <w:widowControl/>
              <w:spacing w:after="0"/>
              <w:jc w:val="center"/>
            </w:pPr>
            <w:r>
              <w:t xml:space="preserve">Board </w:t>
            </w:r>
            <w:r w:rsidR="008E214D">
              <w:t>governance</w:t>
            </w:r>
          </w:p>
        </w:tc>
        <w:tc>
          <w:tcPr>
            <w:tcW w:w="343" w:type="dxa"/>
            <w:shd w:val="clear" w:color="auto" w:fill="auto"/>
          </w:tcPr>
          <w:p w:rsidR="008E214D" w:rsidRDefault="008E214D" w:rsidP="00193FBD">
            <w:pPr>
              <w:widowControl/>
              <w:spacing w:after="0"/>
              <w:jc w:val="center"/>
            </w:pPr>
          </w:p>
        </w:tc>
      </w:tr>
    </w:tbl>
    <w:p w:rsidR="004D1ECA" w:rsidRDefault="000253B6" w:rsidP="00193FBD">
      <w:pPr>
        <w:widowControl/>
        <w:spacing w:before="240"/>
        <w:jc w:val="left"/>
      </w:pPr>
      <w:r w:rsidRPr="0057665F">
        <w:rPr>
          <w:u w:val="single"/>
        </w:rPr>
        <w:t>The Audit Committee</w:t>
      </w:r>
      <w:r w:rsidR="005421BE">
        <w:t>.  In furtherance of its risk oversight responsibility</w:t>
      </w:r>
      <w:r w:rsidR="002A1CDF">
        <w:t>,</w:t>
      </w:r>
      <w:r w:rsidR="005421BE">
        <w:t xml:space="preserve"> </w:t>
      </w:r>
      <w:r w:rsidR="00EB3E65">
        <w:t xml:space="preserve">the Audit Committee </w:t>
      </w:r>
      <w:r w:rsidR="002A1CDF">
        <w:t xml:space="preserve">provides for </w:t>
      </w:r>
      <w:r w:rsidR="005421BE">
        <w:t>the c</w:t>
      </w:r>
      <w:r>
        <w:t>onfidential, anonymous submission by employees and others of concerns regarding questionable accounting</w:t>
      </w:r>
      <w:r w:rsidR="002A1CDF">
        <w:t>,</w:t>
      </w:r>
      <w:r>
        <w:t xml:space="preserve"> auditing </w:t>
      </w:r>
      <w:r w:rsidR="00D72AE3">
        <w:t>and</w:t>
      </w:r>
      <w:r w:rsidR="002A1CDF">
        <w:t xml:space="preserve"> any other </w:t>
      </w:r>
      <w:r>
        <w:t>matters</w:t>
      </w:r>
      <w:r w:rsidR="005421BE">
        <w:t xml:space="preserve">. </w:t>
      </w:r>
      <w:r>
        <w:t xml:space="preserve"> </w:t>
      </w:r>
      <w:r w:rsidR="005421BE">
        <w:t xml:space="preserve">These </w:t>
      </w:r>
      <w:r w:rsidR="002A1CDF">
        <w:t xml:space="preserve">submissions </w:t>
      </w:r>
      <w:r>
        <w:t>are collected by an independent organization specializing in those services</w:t>
      </w:r>
      <w:r w:rsidR="009F0272">
        <w:t>,</w:t>
      </w:r>
      <w:r>
        <w:t xml:space="preserve"> </w:t>
      </w:r>
      <w:r w:rsidR="001C3C51">
        <w:t>and are conveyed to the Chair</w:t>
      </w:r>
      <w:r>
        <w:t xml:space="preserve"> of the </w:t>
      </w:r>
      <w:r w:rsidR="002D4D38">
        <w:t>Audit Committee</w:t>
      </w:r>
      <w:r w:rsidR="00E6531C">
        <w:t>, to the Company's Chief Compliance Officer,</w:t>
      </w:r>
      <w:r>
        <w:t xml:space="preserve"> and to the Company's General Counsel.  </w:t>
      </w:r>
    </w:p>
    <w:p w:rsidR="000253B6" w:rsidRDefault="000253B6" w:rsidP="00EA413E">
      <w:pPr>
        <w:widowControl/>
        <w:jc w:val="left"/>
      </w:pPr>
      <w:r w:rsidRPr="0057665F">
        <w:rPr>
          <w:u w:val="single"/>
        </w:rPr>
        <w:t>The Compensation Committee</w:t>
      </w:r>
      <w:r w:rsidR="005421BE">
        <w:t xml:space="preserve">.  </w:t>
      </w:r>
      <w:r>
        <w:t xml:space="preserve">More information about </w:t>
      </w:r>
      <w:r w:rsidR="00F56271">
        <w:t xml:space="preserve">the Compensation Committee and </w:t>
      </w:r>
      <w:r>
        <w:t xml:space="preserve">compensation risk can be found below in the section entitled </w:t>
      </w:r>
      <w:r w:rsidRPr="000253B6">
        <w:rPr>
          <w:i/>
        </w:rPr>
        <w:t xml:space="preserve">Compensation Policies </w:t>
      </w:r>
      <w:r w:rsidR="00ED191C">
        <w:rPr>
          <w:i/>
        </w:rPr>
        <w:t>&amp;</w:t>
      </w:r>
      <w:r w:rsidRPr="000253B6">
        <w:rPr>
          <w:i/>
        </w:rPr>
        <w:t xml:space="preserve"> Practices — Risk Management</w:t>
      </w:r>
      <w:r>
        <w:t xml:space="preserve"> under the heading </w:t>
      </w:r>
      <w:r w:rsidRPr="000253B6">
        <w:rPr>
          <w:i/>
        </w:rPr>
        <w:t>Executive Compensation</w:t>
      </w:r>
      <w:r>
        <w:t xml:space="preserve">.  </w:t>
      </w:r>
    </w:p>
    <w:p w:rsidR="000253B6" w:rsidRDefault="000253B6" w:rsidP="00EA413E">
      <w:pPr>
        <w:widowControl/>
        <w:jc w:val="left"/>
      </w:pPr>
      <w:r w:rsidRPr="0057665F">
        <w:rPr>
          <w:u w:val="single"/>
        </w:rPr>
        <w:t>The Corporate Governance &amp; Nominating Committee</w:t>
      </w:r>
      <w:r w:rsidR="00543DD2">
        <w:t xml:space="preserve">.  The Corporate Governance &amp; Nominating Committee addresses some of its risk oversight responsibilities through identifying </w:t>
      </w:r>
      <w:r w:rsidR="00C0788D">
        <w:t xml:space="preserve">and recommending for nomination </w:t>
      </w:r>
      <w:r w:rsidR="00543DD2">
        <w:t>well-qualified independent directors</w:t>
      </w:r>
      <w:r w:rsidR="00EB3E65">
        <w:t>;</w:t>
      </w:r>
      <w:r w:rsidR="00543DD2">
        <w:t xml:space="preserve"> through the periodic review</w:t>
      </w:r>
      <w:r w:rsidR="00033B8F">
        <w:t xml:space="preserve"> of </w:t>
      </w:r>
      <w:r w:rsidR="00543DD2">
        <w:t xml:space="preserve">the </w:t>
      </w:r>
      <w:r w:rsidR="00543DD2" w:rsidRPr="004F5A41">
        <w:t>Board Governance Guidelines</w:t>
      </w:r>
      <w:r w:rsidR="00EB3E65">
        <w:t>;</w:t>
      </w:r>
      <w:r w:rsidR="00C0788D">
        <w:t xml:space="preserve"> and </w:t>
      </w:r>
      <w:r w:rsidR="00EB3E65">
        <w:t xml:space="preserve">by </w:t>
      </w:r>
      <w:r w:rsidR="00C0788D">
        <w:t>conducting annual Board</w:t>
      </w:r>
      <w:r w:rsidR="006E7F17">
        <w:t xml:space="preserve"> self-evaluations</w:t>
      </w:r>
      <w:r w:rsidR="005E0A40">
        <w:t>,</w:t>
      </w:r>
      <w:r w:rsidR="00C0788D">
        <w:t xml:space="preserve"> </w:t>
      </w:r>
      <w:r w:rsidR="00C0788D" w:rsidRPr="005E0A40">
        <w:t xml:space="preserve">and </w:t>
      </w:r>
      <w:r w:rsidR="005E0A40" w:rsidRPr="005E0A40">
        <w:t xml:space="preserve">through the Chair of the Committee, individual </w:t>
      </w:r>
      <w:r w:rsidR="00C0788D" w:rsidRPr="005E0A40">
        <w:t xml:space="preserve">director </w:t>
      </w:r>
      <w:r w:rsidR="00C0788D">
        <w:t>evaluations</w:t>
      </w:r>
      <w:r>
        <w:t xml:space="preserve">.  </w:t>
      </w:r>
    </w:p>
    <w:p w:rsidR="000253B6" w:rsidRDefault="000964C0" w:rsidP="00890B3A">
      <w:pPr>
        <w:widowControl/>
        <w:spacing w:after="60"/>
        <w:jc w:val="left"/>
      </w:pPr>
      <w:bookmarkStart w:id="59" w:name="_Toc381354124"/>
      <w:bookmarkStart w:id="60" w:name="_Toc445739569"/>
      <w:r>
        <w:rPr>
          <w:rStyle w:val="003ProxyChar"/>
        </w:rPr>
        <w:t>Selecting Director Nominees</w:t>
      </w:r>
      <w:bookmarkEnd w:id="59"/>
      <w:bookmarkEnd w:id="60"/>
      <w:r w:rsidR="000253B6">
        <w:t xml:space="preserve">.  The Board's Corporate Governance &amp; Nominating Committee has the responsibility, among others, to identify and recommend </w:t>
      </w:r>
      <w:r w:rsidR="00AE1AC4">
        <w:t xml:space="preserve">for nomination by the Board </w:t>
      </w:r>
      <w:r w:rsidR="004F5A41">
        <w:t>(</w:t>
      </w:r>
      <w:r w:rsidR="00B0601D">
        <w:t xml:space="preserve">including </w:t>
      </w:r>
      <w:r w:rsidR="004F5A41">
        <w:t xml:space="preserve">by </w:t>
      </w:r>
      <w:r w:rsidR="00AE1AC4">
        <w:t>a majority of independent directors</w:t>
      </w:r>
      <w:r w:rsidR="004F5A41">
        <w:t>)</w:t>
      </w:r>
      <w:r w:rsidR="00AE1AC4">
        <w:t xml:space="preserve"> </w:t>
      </w:r>
      <w:r w:rsidR="000253B6">
        <w:t>qualified candidates</w:t>
      </w:r>
      <w:r w:rsidR="00F439B6">
        <w:t xml:space="preserve"> for </w:t>
      </w:r>
      <w:r w:rsidR="00AE1AC4">
        <w:t xml:space="preserve">election as </w:t>
      </w:r>
      <w:r w:rsidR="00F439B6">
        <w:t>director</w:t>
      </w:r>
      <w:r w:rsidR="000253B6">
        <w:t xml:space="preserve">.  </w:t>
      </w:r>
    </w:p>
    <w:p w:rsidR="000253B6" w:rsidRDefault="007528CF" w:rsidP="00890B3A">
      <w:pPr>
        <w:widowControl/>
        <w:spacing w:after="60"/>
        <w:jc w:val="left"/>
      </w:pPr>
      <w:r>
        <w:t>T</w:t>
      </w:r>
      <w:r w:rsidR="000253B6">
        <w:t xml:space="preserve">he </w:t>
      </w:r>
      <w:r w:rsidR="00E26CE7">
        <w:t xml:space="preserve">Corporate Governance &amp; Nominating Committee </w:t>
      </w:r>
      <w:r>
        <w:t xml:space="preserve">has </w:t>
      </w:r>
      <w:r w:rsidR="000253B6">
        <w:t xml:space="preserve">voted to recommend to the Board the nomination </w:t>
      </w:r>
      <w:r w:rsidR="00336732">
        <w:t xml:space="preserve">for re-election </w:t>
      </w:r>
      <w:r w:rsidR="000253B6">
        <w:t xml:space="preserve">of </w:t>
      </w:r>
      <w:r w:rsidR="00315563">
        <w:t>Messrs.</w:t>
      </w:r>
      <w:r w:rsidR="000253B6">
        <w:t xml:space="preserve"> </w:t>
      </w:r>
      <w:r w:rsidR="00E305B3">
        <w:t xml:space="preserve">Hemsley, Patton, </w:t>
      </w:r>
      <w:r w:rsidR="00EC3574">
        <w:t xml:space="preserve">Schaum, Scott </w:t>
      </w:r>
      <w:r w:rsidR="000253B6">
        <w:t>and Varello, whose current terms expire at the Annual Meeting</w:t>
      </w:r>
      <w:r w:rsidR="00FE5051">
        <w:t xml:space="preserve">.  If re-elected, they </w:t>
      </w:r>
      <w:r w:rsidR="009D13C2">
        <w:t>will serve</w:t>
      </w:r>
      <w:r w:rsidR="00E516C4">
        <w:t xml:space="preserve"> for one-year terms</w:t>
      </w:r>
      <w:r w:rsidR="000253B6">
        <w:t xml:space="preserve">.  </w:t>
      </w:r>
    </w:p>
    <w:p w:rsidR="000253B6" w:rsidRDefault="000253B6" w:rsidP="00890B3A">
      <w:pPr>
        <w:widowControl/>
        <w:spacing w:after="60"/>
        <w:jc w:val="left"/>
      </w:pPr>
      <w:r>
        <w:t xml:space="preserve">Information about the background and qualifications of the nominees is set forth above in the section entitled </w:t>
      </w:r>
      <w:r w:rsidRPr="000253B6">
        <w:rPr>
          <w:i/>
        </w:rPr>
        <w:t xml:space="preserve">Background </w:t>
      </w:r>
      <w:r w:rsidR="00987B80">
        <w:rPr>
          <w:i/>
        </w:rPr>
        <w:t>&amp;</w:t>
      </w:r>
      <w:r w:rsidRPr="000253B6">
        <w:rPr>
          <w:i/>
        </w:rPr>
        <w:t xml:space="preserve"> Skills of </w:t>
      </w:r>
      <w:r w:rsidR="00BA1391">
        <w:rPr>
          <w:i/>
        </w:rPr>
        <w:t xml:space="preserve">the </w:t>
      </w:r>
      <w:r w:rsidR="00693E94">
        <w:rPr>
          <w:i/>
        </w:rPr>
        <w:t xml:space="preserve">Nominees </w:t>
      </w:r>
      <w:r w:rsidR="00E9139E">
        <w:rPr>
          <w:i/>
        </w:rPr>
        <w:t>&amp;</w:t>
      </w:r>
      <w:r w:rsidR="003246F2">
        <w:rPr>
          <w:i/>
        </w:rPr>
        <w:t xml:space="preserve"> </w:t>
      </w:r>
      <w:r w:rsidR="00351FD3">
        <w:rPr>
          <w:i/>
        </w:rPr>
        <w:t>Continuing</w:t>
      </w:r>
      <w:r w:rsidR="00B8059F">
        <w:rPr>
          <w:i/>
        </w:rPr>
        <w:t xml:space="preserve"> </w:t>
      </w:r>
      <w:r w:rsidRPr="000253B6">
        <w:rPr>
          <w:i/>
        </w:rPr>
        <w:t>Director</w:t>
      </w:r>
      <w:r>
        <w:t xml:space="preserve"> under the heading </w:t>
      </w:r>
      <w:r w:rsidRPr="000253B6">
        <w:rPr>
          <w:i/>
        </w:rPr>
        <w:t>Election of Directors (Proposal 1)</w:t>
      </w:r>
      <w:r>
        <w:t xml:space="preserve">.  </w:t>
      </w:r>
    </w:p>
    <w:p w:rsidR="00466226" w:rsidRDefault="00B2012E" w:rsidP="00890B3A">
      <w:pPr>
        <w:widowControl/>
        <w:spacing w:after="60"/>
        <w:jc w:val="left"/>
      </w:pPr>
      <w:r>
        <w:t>T</w:t>
      </w:r>
      <w:r w:rsidR="000253B6">
        <w:t xml:space="preserve">he </w:t>
      </w:r>
      <w:r w:rsidR="00466226">
        <w:t xml:space="preserve">Corporate Governance &amp; Nominating Committee </w:t>
      </w:r>
      <w:r>
        <w:t xml:space="preserve">has not specified any minimum qualifications for serving on the Board, but </w:t>
      </w:r>
      <w:r w:rsidR="000253B6">
        <w:t xml:space="preserve">seeks to achieve a Board that is composed of individuals who have experience that is relevant to the needs of the Company, who have a high level of professional and personal ethics, and who contribute to the </w:t>
      </w:r>
      <w:r w:rsidR="006A53B4">
        <w:t xml:space="preserve">cognitive </w:t>
      </w:r>
      <w:r w:rsidR="000253B6">
        <w:t>diversity of the Board</w:t>
      </w:r>
      <w:r w:rsidR="006A53B4">
        <w:t xml:space="preserve">, including </w:t>
      </w:r>
      <w:r w:rsidR="006A53B4" w:rsidRPr="006A53B4">
        <w:t>business experience, public sector experience, professional training, public and private offices held, geographical representation, race, gender and age, among other</w:t>
      </w:r>
      <w:r w:rsidR="006A53B4">
        <w:t xml:space="preserve"> considerations</w:t>
      </w:r>
      <w:r w:rsidR="000253B6">
        <w:t xml:space="preserve">.  </w:t>
      </w:r>
      <w:r w:rsidR="00345D7A">
        <w:t>E</w:t>
      </w:r>
      <w:r w:rsidR="000253B6">
        <w:t xml:space="preserve">xperience in the construction industry and in </w:t>
      </w:r>
      <w:r w:rsidR="00345D7A">
        <w:t xml:space="preserve">one or more of </w:t>
      </w:r>
      <w:r w:rsidR="000253B6">
        <w:t>engineering, transportation, finance and accounting, corporate governance, senior management</w:t>
      </w:r>
      <w:r w:rsidR="0008123F">
        <w:t>,</w:t>
      </w:r>
      <w:r w:rsidR="000253B6">
        <w:t xml:space="preserve"> and public sector matters</w:t>
      </w:r>
      <w:r w:rsidR="00345D7A">
        <w:t xml:space="preserve"> are considered particularly </w:t>
      </w:r>
      <w:r w:rsidR="00345D7A">
        <w:lastRenderedPageBreak/>
        <w:t>valuable</w:t>
      </w:r>
      <w:r w:rsidR="000253B6">
        <w:t xml:space="preserve">.  </w:t>
      </w:r>
      <w:r w:rsidR="0012736B">
        <w:t>An</w:t>
      </w:r>
      <w:r w:rsidR="0008123F">
        <w:t xml:space="preserve"> independent director</w:t>
      </w:r>
      <w:r w:rsidR="0012736B">
        <w:t xml:space="preserve"> candidate is expected to be committed to enhancing </w:t>
      </w:r>
      <w:r w:rsidR="004A6D64">
        <w:t>stockholder</w:t>
      </w:r>
      <w:r w:rsidR="0012736B">
        <w:t xml:space="preserve"> value, and to have sufficient time to carry out the duties of a director, both on the full Board and on one or more of its standing committees.</w:t>
      </w:r>
    </w:p>
    <w:p w:rsidR="00B2012E" w:rsidRDefault="00607E80" w:rsidP="00890B3A">
      <w:pPr>
        <w:widowControl/>
        <w:spacing w:after="60"/>
        <w:jc w:val="left"/>
      </w:pPr>
      <w:r w:rsidRPr="00607E80">
        <w:t>T</w:t>
      </w:r>
      <w:r w:rsidR="00DA7B46" w:rsidRPr="00607E80">
        <w:t xml:space="preserve">he </w:t>
      </w:r>
      <w:r w:rsidRPr="00607E80">
        <w:t xml:space="preserve">Corporate Governance &amp; Nominating Committee periodically </w:t>
      </w:r>
      <w:r w:rsidR="00DA7B46" w:rsidRPr="00607E80">
        <w:t xml:space="preserve">assesses the </w:t>
      </w:r>
      <w:r w:rsidR="00C87356" w:rsidRPr="00607E80">
        <w:t xml:space="preserve">strengths, </w:t>
      </w:r>
      <w:r w:rsidR="00DA7B46" w:rsidRPr="00607E80">
        <w:t xml:space="preserve">experience and skills of the independent directors to determine if there is a gap in the skills or experience that the Board should seek to fill.  </w:t>
      </w:r>
      <w:r w:rsidR="000253B6">
        <w:t xml:space="preserve">Given the Company's size, the </w:t>
      </w:r>
      <w:r w:rsidR="000524F3">
        <w:t xml:space="preserve">Committee </w:t>
      </w:r>
      <w:r w:rsidR="000253B6">
        <w:t>realize</w:t>
      </w:r>
      <w:r w:rsidR="00C87356">
        <w:t>s</w:t>
      </w:r>
      <w:r w:rsidR="000253B6">
        <w:t xml:space="preserve"> that it is difficult to achieve </w:t>
      </w:r>
      <w:r w:rsidR="0051750B">
        <w:t xml:space="preserve">a Board with </w:t>
      </w:r>
      <w:r w:rsidR="000253B6">
        <w:t xml:space="preserve">broad diversity.  </w:t>
      </w:r>
      <w:r w:rsidR="0012736B">
        <w:t>W</w:t>
      </w:r>
      <w:r w:rsidR="000253B6">
        <w:t>hen</w:t>
      </w:r>
      <w:r w:rsidR="00466226">
        <w:t>ever</w:t>
      </w:r>
      <w:r w:rsidR="000253B6">
        <w:t xml:space="preserve"> it is determined that replacement directors or additional directors are needed, the </w:t>
      </w:r>
      <w:r w:rsidR="008E05C2">
        <w:t xml:space="preserve">Corporate Governance &amp; Nominating Committee </w:t>
      </w:r>
      <w:r w:rsidR="002248C7">
        <w:t>will perform a similar assessment</w:t>
      </w:r>
      <w:r w:rsidR="000253B6">
        <w:t xml:space="preserve">.  </w:t>
      </w:r>
    </w:p>
    <w:p w:rsidR="00AB2D5E" w:rsidRDefault="00A36623" w:rsidP="00890B3A">
      <w:pPr>
        <w:widowControl/>
        <w:spacing w:after="60"/>
        <w:jc w:val="left"/>
      </w:pPr>
      <w:r>
        <w:t xml:space="preserve">In identifying potential candidates for Board membership, the </w:t>
      </w:r>
      <w:r w:rsidR="0012736B">
        <w:t xml:space="preserve">Corporate Governance &amp; Nominating Committee </w:t>
      </w:r>
      <w:r>
        <w:t xml:space="preserve">relies on suggestions and recommendations from directors, management and others, including from time to time executive search and board advisory firms.  </w:t>
      </w:r>
      <w:r w:rsidR="0012736B">
        <w:t xml:space="preserve">The Committee has not established a special policy regarding the consideration of director candidates recommended by stockholders.  </w:t>
      </w:r>
      <w:r>
        <w:t xml:space="preserve">Before recommending a candidate for election, the </w:t>
      </w:r>
      <w:r w:rsidR="008E05C2">
        <w:t xml:space="preserve">Corporate Governance &amp; Nominating Committee </w:t>
      </w:r>
      <w:r w:rsidR="00AB2D5E">
        <w:t xml:space="preserve">conducts </w:t>
      </w:r>
      <w:r>
        <w:t>an independent evaluation</w:t>
      </w:r>
      <w:r w:rsidR="00AB2D5E">
        <w:t xml:space="preserve"> of </w:t>
      </w:r>
      <w:r w:rsidR="0034394F">
        <w:t xml:space="preserve">the </w:t>
      </w:r>
      <w:r w:rsidR="00AB2D5E">
        <w:t xml:space="preserve">candidate and </w:t>
      </w:r>
      <w:r>
        <w:t>checks references</w:t>
      </w:r>
      <w:r w:rsidR="00AB2D5E">
        <w:t xml:space="preserve">.  </w:t>
      </w:r>
      <w:r w:rsidR="00386355">
        <w:t xml:space="preserve">The evaluation of any candidate recommended by a stockholder would be conducted in the same manner as </w:t>
      </w:r>
      <w:r w:rsidR="00572F68">
        <w:t xml:space="preserve">for </w:t>
      </w:r>
      <w:r w:rsidR="00386355">
        <w:t xml:space="preserve">any other candidate.  </w:t>
      </w:r>
      <w:r w:rsidR="00AB2D5E">
        <w:t xml:space="preserve">  </w:t>
      </w:r>
    </w:p>
    <w:p w:rsidR="000253B6" w:rsidRDefault="000253B6" w:rsidP="00EA413E">
      <w:pPr>
        <w:widowControl/>
        <w:jc w:val="left"/>
      </w:pPr>
      <w:r>
        <w:t>If a stockholder wishes to recommend a person as a candidate</w:t>
      </w:r>
      <w:r w:rsidR="00386355">
        <w:t xml:space="preserve"> for nomination as a director</w:t>
      </w:r>
      <w:r>
        <w:t xml:space="preserve">, the stockholder </w:t>
      </w:r>
      <w:r w:rsidR="00386355">
        <w:t xml:space="preserve">should </w:t>
      </w:r>
      <w:r>
        <w:t xml:space="preserve">follow the procedure for communicating with the Board that is described </w:t>
      </w:r>
      <w:r w:rsidR="0034394F">
        <w:t>above</w:t>
      </w:r>
      <w:r w:rsidR="004163BB">
        <w:t xml:space="preserve"> </w:t>
      </w:r>
      <w:r w:rsidR="0034394F">
        <w:t xml:space="preserve">in the </w:t>
      </w:r>
      <w:r w:rsidR="00386355">
        <w:t>section</w:t>
      </w:r>
      <w:r w:rsidR="0034394F">
        <w:t xml:space="preserve"> entitled </w:t>
      </w:r>
      <w:r w:rsidR="0034394F" w:rsidRPr="0034394F">
        <w:rPr>
          <w:i/>
        </w:rPr>
        <w:t>Communicat</w:t>
      </w:r>
      <w:r w:rsidR="003F687C">
        <w:rPr>
          <w:i/>
        </w:rPr>
        <w:t>ing</w:t>
      </w:r>
      <w:r w:rsidR="0034394F" w:rsidRPr="0034394F">
        <w:rPr>
          <w:i/>
        </w:rPr>
        <w:t xml:space="preserve"> with the Board</w:t>
      </w:r>
      <w:r>
        <w:t>.  Recommendations of candidates for nomination for the 201</w:t>
      </w:r>
      <w:r w:rsidR="00D07B0F">
        <w:t>7</w:t>
      </w:r>
      <w:r>
        <w:t xml:space="preserve"> Annual Meeting of Stockholders must be received by the date set forth below under the heading </w:t>
      </w:r>
      <w:r w:rsidRPr="000253B6">
        <w:rPr>
          <w:i/>
        </w:rPr>
        <w:t>Submission of Stockholder Proposals</w:t>
      </w:r>
      <w:r>
        <w:t xml:space="preserve">.  </w:t>
      </w:r>
    </w:p>
    <w:p w:rsidR="00CC2F7B" w:rsidRPr="00CC2F7B" w:rsidRDefault="00D14949" w:rsidP="00890B3A">
      <w:pPr>
        <w:keepNext/>
        <w:widowControl/>
        <w:spacing w:after="40"/>
        <w:jc w:val="left"/>
        <w:rPr>
          <w:rStyle w:val="002ProxyChar"/>
          <w:b w:val="0"/>
        </w:rPr>
      </w:pPr>
      <w:bookmarkStart w:id="61" w:name="_Toc445739570"/>
      <w:bookmarkStart w:id="62" w:name="_Toc381354126"/>
      <w:r w:rsidRPr="00D14949">
        <w:rPr>
          <w:rStyle w:val="002ProxyChar"/>
        </w:rPr>
        <w:t xml:space="preserve">Board </w:t>
      </w:r>
      <w:r w:rsidR="00CC2F7B" w:rsidRPr="00D14949">
        <w:rPr>
          <w:rStyle w:val="002ProxyChar"/>
        </w:rPr>
        <w:t>Operations</w:t>
      </w:r>
      <w:bookmarkEnd w:id="61"/>
      <w:r w:rsidR="00CC2F7B" w:rsidRPr="00BF2C87">
        <w:t xml:space="preserve">.  </w:t>
      </w:r>
    </w:p>
    <w:p w:rsidR="00FD48F6" w:rsidRDefault="00CD44FE" w:rsidP="00890B3A">
      <w:pPr>
        <w:keepNext/>
        <w:widowControl/>
        <w:spacing w:after="60"/>
        <w:jc w:val="left"/>
      </w:pPr>
      <w:bookmarkStart w:id="63" w:name="_Toc445739571"/>
      <w:bookmarkEnd w:id="62"/>
      <w:r w:rsidRPr="000A0B16">
        <w:rPr>
          <w:rStyle w:val="003ProxyChar"/>
        </w:rPr>
        <w:t>Committees of the Board</w:t>
      </w:r>
      <w:bookmarkEnd w:id="63"/>
      <w:r>
        <w:t>.  The Board</w:t>
      </w:r>
      <w:r w:rsidR="00E26898">
        <w:t xml:space="preserve">'s three standing committees are the </w:t>
      </w:r>
      <w:r>
        <w:t>Audit Committee</w:t>
      </w:r>
      <w:r w:rsidR="00E26898">
        <w:t xml:space="preserve">, the </w:t>
      </w:r>
      <w:r>
        <w:t xml:space="preserve">Compensation Committee </w:t>
      </w:r>
      <w:r w:rsidR="00E26898">
        <w:t xml:space="preserve">and the </w:t>
      </w:r>
      <w:r>
        <w:t>Corporate Governance &amp; Nominating Committee</w:t>
      </w:r>
      <w:r w:rsidR="00E26898">
        <w:t xml:space="preserve">.  </w:t>
      </w:r>
      <w:r w:rsidR="00FD48F6">
        <w:t xml:space="preserve">The professional background and skills of </w:t>
      </w:r>
      <w:r w:rsidR="00DA49BC">
        <w:t xml:space="preserve">each of </w:t>
      </w:r>
      <w:r w:rsidR="00FD48F6">
        <w:t>the members of the</w:t>
      </w:r>
      <w:r w:rsidR="00330323">
        <w:t>se</w:t>
      </w:r>
      <w:r w:rsidR="00FD48F6">
        <w:t xml:space="preserve"> committees are described above in the section entitled </w:t>
      </w:r>
      <w:r w:rsidR="00FD48F6" w:rsidRPr="00AF2DC9">
        <w:rPr>
          <w:i/>
        </w:rPr>
        <w:t xml:space="preserve">Background </w:t>
      </w:r>
      <w:r w:rsidR="00330323">
        <w:rPr>
          <w:i/>
        </w:rPr>
        <w:t>&amp;</w:t>
      </w:r>
      <w:r w:rsidR="00FD48F6" w:rsidRPr="00AF2DC9">
        <w:rPr>
          <w:i/>
        </w:rPr>
        <w:t xml:space="preserve"> Skills of the </w:t>
      </w:r>
      <w:r w:rsidR="00FD48F6">
        <w:rPr>
          <w:i/>
        </w:rPr>
        <w:t xml:space="preserve">Nominees &amp; </w:t>
      </w:r>
      <w:r w:rsidR="00351FD3">
        <w:rPr>
          <w:i/>
        </w:rPr>
        <w:t>Continuing</w:t>
      </w:r>
      <w:r w:rsidR="00371A55">
        <w:rPr>
          <w:i/>
        </w:rPr>
        <w:t xml:space="preserve"> </w:t>
      </w:r>
      <w:r w:rsidR="00FD48F6" w:rsidRPr="00AF2DC9">
        <w:rPr>
          <w:i/>
        </w:rPr>
        <w:t>Director</w:t>
      </w:r>
      <w:r w:rsidR="00FD48F6">
        <w:t xml:space="preserve">, under the heading </w:t>
      </w:r>
      <w:r w:rsidR="00FD48F6" w:rsidRPr="00CD44FE">
        <w:rPr>
          <w:i/>
        </w:rPr>
        <w:t>Election of Directors (Proposal 1)</w:t>
      </w:r>
      <w:r w:rsidR="00FD48F6">
        <w:t xml:space="preserve">.  </w:t>
      </w:r>
    </w:p>
    <w:p w:rsidR="00CD44FE" w:rsidRDefault="00CD44FE" w:rsidP="00890B3A">
      <w:pPr>
        <w:widowControl/>
        <w:spacing w:after="60"/>
        <w:jc w:val="left"/>
      </w:pPr>
      <w:r>
        <w:t>Each of these committees has a charter that is posted on the Company's</w:t>
      </w:r>
      <w:r w:rsidR="00C40666">
        <w:t xml:space="preserve"> website,</w:t>
      </w:r>
      <w:r>
        <w:t xml:space="preserve"> </w:t>
      </w:r>
      <w:hyperlink r:id="rId18" w:history="1">
        <w:r w:rsidR="00D07B0F" w:rsidRPr="00337E95">
          <w:rPr>
            <w:rStyle w:val="Hyperlink"/>
          </w:rPr>
          <w:t>www.STRLco.com</w:t>
        </w:r>
      </w:hyperlink>
      <w:r w:rsidR="0015195A">
        <w:rPr>
          <w:rStyle w:val="Hyperlink"/>
        </w:rPr>
        <w:t xml:space="preserve"> </w:t>
      </w:r>
      <w:r w:rsidR="003E51C3" w:rsidRPr="002113CA">
        <w:rPr>
          <w:rStyle w:val="Hyperlink"/>
          <w:color w:val="auto"/>
          <w:u w:val="none"/>
        </w:rPr>
        <w:t xml:space="preserve">under the Investor Relations </w:t>
      </w:r>
      <w:r w:rsidR="00FB4972">
        <w:rPr>
          <w:rStyle w:val="Hyperlink"/>
          <w:color w:val="auto"/>
          <w:u w:val="none"/>
        </w:rPr>
        <w:t>page</w:t>
      </w:r>
      <w:r w:rsidR="003E51C3">
        <w:t xml:space="preserve"> in the Corporate Governance section. </w:t>
      </w:r>
      <w:r>
        <w:t xml:space="preserve"> The Board also establishes special-purpose, or </w:t>
      </w:r>
      <w:r w:rsidRPr="00735335">
        <w:rPr>
          <w:i/>
        </w:rPr>
        <w:t>ad hoc</w:t>
      </w:r>
      <w:r>
        <w:t xml:space="preserve">, committees as the need arises.  </w:t>
      </w:r>
    </w:p>
    <w:p w:rsidR="00CD44FE" w:rsidRDefault="00CD44FE" w:rsidP="00890B3A">
      <w:pPr>
        <w:widowControl/>
        <w:spacing w:after="60"/>
        <w:jc w:val="left"/>
      </w:pPr>
      <w:bookmarkStart w:id="64" w:name="_Toc381354127"/>
      <w:bookmarkStart w:id="65" w:name="_Toc445739572"/>
      <w:r w:rsidRPr="000A0B16">
        <w:rPr>
          <w:rStyle w:val="003ProxyChar"/>
          <w:b w:val="0"/>
        </w:rPr>
        <w:t>The Audit Committee</w:t>
      </w:r>
      <w:bookmarkEnd w:id="64"/>
      <w:bookmarkEnd w:id="65"/>
      <w:r>
        <w:t xml:space="preserve">.  The </w:t>
      </w:r>
      <w:r w:rsidR="00A979A7">
        <w:t xml:space="preserve">current </w:t>
      </w:r>
      <w:r>
        <w:t xml:space="preserve">members of the Audit Committee are Milton L. Scott, Chair, Maarten D. Hemsley, </w:t>
      </w:r>
      <w:r w:rsidR="00FF21AF">
        <w:t>and Richard O. Schaum</w:t>
      </w:r>
      <w:r w:rsidR="00466226">
        <w:t>.</w:t>
      </w:r>
      <w:r>
        <w:t xml:space="preserve">  The Board has determined that </w:t>
      </w:r>
      <w:r w:rsidR="008D6AC2">
        <w:t xml:space="preserve">each of </w:t>
      </w:r>
      <w:r>
        <w:t>M</w:t>
      </w:r>
      <w:r w:rsidR="00F92C28">
        <w:t>ess</w:t>
      </w:r>
      <w:r>
        <w:t>r</w:t>
      </w:r>
      <w:r w:rsidR="00F92C28">
        <w:t>s</w:t>
      </w:r>
      <w:r>
        <w:t xml:space="preserve">. </w:t>
      </w:r>
      <w:r w:rsidR="00F92C28">
        <w:t xml:space="preserve">Hemsley and </w:t>
      </w:r>
      <w:r>
        <w:t xml:space="preserve">Scott </w:t>
      </w:r>
      <w:r w:rsidR="008D6AC2">
        <w:t>is a</w:t>
      </w:r>
      <w:r w:rsidR="00CE6B76">
        <w:t>n</w:t>
      </w:r>
      <w:r w:rsidR="008D6AC2">
        <w:t xml:space="preserve"> </w:t>
      </w:r>
      <w:r>
        <w:t xml:space="preserve">Audit Committee Financial Expert based on the definition of that term contained in applicable regulations.  The </w:t>
      </w:r>
      <w:r w:rsidR="00D23A2D">
        <w:t>Audit Committee</w:t>
      </w:r>
      <w:r>
        <w:t xml:space="preserve"> meets at least quarter</w:t>
      </w:r>
      <w:r w:rsidR="00F92C28">
        <w:t>ly</w:t>
      </w:r>
      <w:r>
        <w:t xml:space="preserve">.  </w:t>
      </w:r>
    </w:p>
    <w:p w:rsidR="00CD44FE" w:rsidRDefault="00CD44FE" w:rsidP="00890B3A">
      <w:pPr>
        <w:widowControl/>
        <w:spacing w:after="60"/>
        <w:jc w:val="left"/>
      </w:pPr>
      <w:r>
        <w:t xml:space="preserve">The </w:t>
      </w:r>
      <w:r w:rsidR="00D23A2D">
        <w:t>Audit Committee</w:t>
      </w:r>
      <w:r>
        <w:t xml:space="preserve"> assists the Board in fulfilling its responsibility to oversee the Company's accounting and financial reporting processes</w:t>
      </w:r>
      <w:r w:rsidR="00D72AE3">
        <w:t>,</w:t>
      </w:r>
      <w:r>
        <w:t xml:space="preserve"> and the audits by the Company's independent registered public accounting firm, </w:t>
      </w:r>
      <w:r w:rsidR="008D6AC2">
        <w:t xml:space="preserve">which is </w:t>
      </w:r>
      <w:r>
        <w:t xml:space="preserve">referred to in </w:t>
      </w:r>
      <w:r w:rsidR="00330323">
        <w:t xml:space="preserve">the Committee's </w:t>
      </w:r>
      <w:r>
        <w:t xml:space="preserve">charter as the independent auditors.  In particular, the </w:t>
      </w:r>
      <w:r w:rsidR="00D23A2D">
        <w:t>Audit Committee</w:t>
      </w:r>
      <w:r>
        <w:t xml:space="preserve"> has the responsibility to — </w:t>
      </w:r>
    </w:p>
    <w:p w:rsidR="00CD44FE" w:rsidRDefault="00CD44FE" w:rsidP="00890B3A">
      <w:pPr>
        <w:pStyle w:val="ListParagraph"/>
        <w:widowControl/>
        <w:numPr>
          <w:ilvl w:val="0"/>
          <w:numId w:val="8"/>
        </w:numPr>
        <w:tabs>
          <w:tab w:val="left" w:pos="720"/>
        </w:tabs>
        <w:spacing w:after="60"/>
        <w:ind w:left="720"/>
        <w:contextualSpacing w:val="0"/>
        <w:jc w:val="left"/>
      </w:pPr>
      <w:r>
        <w:t>Review financial reports and other financial information, internal accounting and financial controls, controls and procedures relating to public disclosure of information, and the audit of the Company's financial statements by the Company's independent auditors;</w:t>
      </w:r>
    </w:p>
    <w:p w:rsidR="00CD44FE" w:rsidRDefault="00CD44FE" w:rsidP="00890B3A">
      <w:pPr>
        <w:pStyle w:val="ListParagraph"/>
        <w:widowControl/>
        <w:numPr>
          <w:ilvl w:val="0"/>
          <w:numId w:val="8"/>
        </w:numPr>
        <w:tabs>
          <w:tab w:val="left" w:pos="720"/>
        </w:tabs>
        <w:spacing w:after="60"/>
        <w:ind w:left="720"/>
        <w:contextualSpacing w:val="0"/>
        <w:jc w:val="left"/>
      </w:pPr>
      <w:r>
        <w:t>Appoint independent auditors, approve their compensation, supervise their work, oversee their independence</w:t>
      </w:r>
      <w:r w:rsidR="00DD58AD">
        <w:t>,</w:t>
      </w:r>
      <w:r>
        <w:t xml:space="preserve"> and evaluate their qualifications and performance;</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and the independent auditors the audited and interim financial statements that are included in filings with the </w:t>
      </w:r>
      <w:r w:rsidR="008D2A0F">
        <w:t>Securities and Exchange Commission</w:t>
      </w:r>
      <w:r>
        <w:t>;</w:t>
      </w:r>
    </w:p>
    <w:p w:rsidR="00CD44FE" w:rsidRDefault="00CD44FE" w:rsidP="00890B3A">
      <w:pPr>
        <w:pStyle w:val="ListParagraph"/>
        <w:widowControl/>
        <w:numPr>
          <w:ilvl w:val="0"/>
          <w:numId w:val="8"/>
        </w:numPr>
        <w:tabs>
          <w:tab w:val="left" w:pos="720"/>
        </w:tabs>
        <w:spacing w:after="60"/>
        <w:ind w:left="720"/>
        <w:contextualSpacing w:val="0"/>
        <w:jc w:val="left"/>
      </w:pPr>
      <w:r>
        <w:lastRenderedPageBreak/>
        <w:t xml:space="preserve">Review the quality of the Company's accounting policies;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with management major financial risk exposures;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and discuss with management the Company's policies with respect to press releases on earnings and earnings guidance, including the use of pro forma information;  </w:t>
      </w:r>
    </w:p>
    <w:p w:rsidR="00CD44FE" w:rsidRDefault="00CD44FE" w:rsidP="00890B3A">
      <w:pPr>
        <w:pStyle w:val="ListParagraph"/>
        <w:widowControl/>
        <w:numPr>
          <w:ilvl w:val="0"/>
          <w:numId w:val="8"/>
        </w:numPr>
        <w:tabs>
          <w:tab w:val="left" w:pos="720"/>
        </w:tabs>
        <w:spacing w:after="60"/>
        <w:ind w:left="720"/>
        <w:contextualSpacing w:val="0"/>
        <w:jc w:val="left"/>
      </w:pPr>
      <w:r>
        <w:t xml:space="preserve">Review all proposed transactions between the Company and related parties in which the amount involved exceeds $100,000; </w:t>
      </w:r>
    </w:p>
    <w:p w:rsidR="00CD44FE" w:rsidRDefault="00CD44FE" w:rsidP="00890B3A">
      <w:pPr>
        <w:pStyle w:val="ListParagraph"/>
        <w:widowControl/>
        <w:numPr>
          <w:ilvl w:val="0"/>
          <w:numId w:val="8"/>
        </w:numPr>
        <w:tabs>
          <w:tab w:val="left" w:pos="720"/>
        </w:tabs>
        <w:spacing w:after="60"/>
        <w:ind w:left="720"/>
        <w:contextualSpacing w:val="0"/>
        <w:jc w:val="left"/>
      </w:pPr>
      <w:r>
        <w:t>Provide for the confidential, anonymous submission by employees and others of concerns regarding questionable accounting or auditing matters</w:t>
      </w:r>
      <w:r w:rsidR="002E13A3">
        <w:t xml:space="preserve">; and </w:t>
      </w:r>
    </w:p>
    <w:p w:rsidR="002E13A3" w:rsidRDefault="002E13A3" w:rsidP="00890B3A">
      <w:pPr>
        <w:pStyle w:val="ListParagraph"/>
        <w:widowControl/>
        <w:numPr>
          <w:ilvl w:val="0"/>
          <w:numId w:val="8"/>
        </w:numPr>
        <w:tabs>
          <w:tab w:val="left" w:pos="720"/>
        </w:tabs>
        <w:spacing w:after="60"/>
        <w:ind w:left="720"/>
        <w:contextualSpacing w:val="0"/>
        <w:jc w:val="left"/>
      </w:pPr>
      <w:r>
        <w:t>Oversee the Company's Ethics &amp; Compliance Program by supporting the resource needs of the Company's Chief Compliance Officer, and by receiving periodic reports from the Chief Compliance Officer on the status of the compliance program and other matters.</w:t>
      </w:r>
    </w:p>
    <w:p w:rsidR="00CD44FE" w:rsidRDefault="00CD44FE" w:rsidP="00291CD3">
      <w:pPr>
        <w:keepNext/>
        <w:widowControl/>
        <w:spacing w:after="60"/>
        <w:jc w:val="left"/>
      </w:pPr>
      <w:bookmarkStart w:id="66" w:name="_Toc381354128"/>
      <w:bookmarkStart w:id="67" w:name="_Toc445739573"/>
      <w:r w:rsidRPr="000A0B16">
        <w:rPr>
          <w:rStyle w:val="003ProxyChar"/>
          <w:b w:val="0"/>
        </w:rPr>
        <w:t>The Audit Committee Report</w:t>
      </w:r>
      <w:bookmarkEnd w:id="66"/>
      <w:bookmarkEnd w:id="67"/>
      <w:r>
        <w:t>.  In fulfillment of its responsibil</w:t>
      </w:r>
      <w:r w:rsidR="008669FF">
        <w:t>ities, the Audit Committee has —</w:t>
      </w:r>
    </w:p>
    <w:p w:rsidR="00CD44FE" w:rsidRDefault="00CD44FE" w:rsidP="00291CD3">
      <w:pPr>
        <w:pStyle w:val="ListParagraph"/>
        <w:keepNext/>
        <w:widowControl/>
        <w:numPr>
          <w:ilvl w:val="0"/>
          <w:numId w:val="9"/>
        </w:numPr>
        <w:tabs>
          <w:tab w:val="left" w:pos="720"/>
        </w:tabs>
        <w:spacing w:after="60"/>
        <w:ind w:left="720"/>
        <w:contextualSpacing w:val="0"/>
        <w:jc w:val="left"/>
      </w:pPr>
      <w:r>
        <w:t>Reviewed, and met and discussed with management and with the Company's independent registered public accounting firm the Company's 201</w:t>
      </w:r>
      <w:r w:rsidR="00D07B0F">
        <w:t>5</w:t>
      </w:r>
      <w:r>
        <w:t xml:space="preserve"> audited consolidated financial statements;  </w:t>
      </w:r>
    </w:p>
    <w:p w:rsidR="00CD44FE" w:rsidRDefault="00CD44FE" w:rsidP="00890B3A">
      <w:pPr>
        <w:pStyle w:val="ListParagraph"/>
        <w:widowControl/>
        <w:numPr>
          <w:ilvl w:val="0"/>
          <w:numId w:val="9"/>
        </w:numPr>
        <w:tabs>
          <w:tab w:val="left" w:pos="720"/>
        </w:tabs>
        <w:spacing w:after="60"/>
        <w:ind w:left="720"/>
        <w:contextualSpacing w:val="0"/>
        <w:jc w:val="left"/>
      </w:pPr>
      <w:r>
        <w:t xml:space="preserve">Discussed with the independent auditors the matters required to be discussed by the statement on Auditing Standards No. </w:t>
      </w:r>
      <w:r w:rsidR="001B0332">
        <w:t>16</w:t>
      </w:r>
      <w:r>
        <w:t>, as amended</w:t>
      </w:r>
      <w:r w:rsidR="001B0332">
        <w:t>,</w:t>
      </w:r>
      <w:r>
        <w:t xml:space="preserve"> </w:t>
      </w:r>
      <w:r w:rsidR="001B0332" w:rsidRPr="001B0332">
        <w:rPr>
          <w:i/>
        </w:rPr>
        <w:t>Communications with Audit Committees</w:t>
      </w:r>
      <w:r w:rsidR="001B0332">
        <w:t xml:space="preserve"> </w:t>
      </w:r>
      <w:r>
        <w:t>as adopted by the Public Company Accounting Oversight Board</w:t>
      </w:r>
      <w:r w:rsidR="001B0332">
        <w:t>;</w:t>
      </w:r>
    </w:p>
    <w:p w:rsidR="00CD44FE" w:rsidRDefault="00CD44FE" w:rsidP="00890B3A">
      <w:pPr>
        <w:pStyle w:val="ListParagraph"/>
        <w:widowControl/>
        <w:numPr>
          <w:ilvl w:val="0"/>
          <w:numId w:val="9"/>
        </w:numPr>
        <w:tabs>
          <w:tab w:val="left" w:pos="720"/>
        </w:tabs>
        <w:spacing w:after="60"/>
        <w:ind w:left="720"/>
        <w:contextualSpacing w:val="0"/>
        <w:jc w:val="left"/>
      </w:pPr>
      <w:r>
        <w:t>Received the written disclosures and the letter from the independent accountant required by applicable requirements of the Public Company Accounting Oversight Board regarding the independent accountant's communications with the audit committee concerning independence, and has discussed with the independent accountant the independent accountant's independence; and</w:t>
      </w:r>
    </w:p>
    <w:p w:rsidR="00CD44FE" w:rsidRDefault="00CD44FE" w:rsidP="00890B3A">
      <w:pPr>
        <w:pStyle w:val="ListParagraph"/>
        <w:widowControl/>
        <w:numPr>
          <w:ilvl w:val="0"/>
          <w:numId w:val="9"/>
        </w:numPr>
        <w:tabs>
          <w:tab w:val="left" w:pos="720"/>
        </w:tabs>
        <w:spacing w:after="60"/>
        <w:ind w:left="720"/>
        <w:contextualSpacing w:val="0"/>
        <w:jc w:val="left"/>
      </w:pPr>
      <w:r>
        <w:t xml:space="preserve">Based and in reliance on the foregoing review and discussions, recommended to the Board, and the Board has approved the inclusion of the Company's audited consolidated financial statements in the Company's Annual Report on Form 10-K for </w:t>
      </w:r>
      <w:r w:rsidR="0071737A">
        <w:t>the year ended December 31, 201</w:t>
      </w:r>
      <w:r w:rsidR="00D07B0F">
        <w:t>5</w:t>
      </w:r>
      <w:r>
        <w:t xml:space="preserve"> for filing with the SEC.</w:t>
      </w:r>
    </w:p>
    <w:p w:rsidR="00CD44FE" w:rsidRPr="008669FF" w:rsidRDefault="00CD44FE" w:rsidP="00890B3A">
      <w:pPr>
        <w:keepNext/>
        <w:widowControl/>
        <w:spacing w:after="60"/>
        <w:ind w:left="360"/>
        <w:jc w:val="left"/>
        <w:rPr>
          <w:i/>
        </w:rPr>
      </w:pPr>
      <w:r w:rsidRPr="008669FF">
        <w:rPr>
          <w:i/>
        </w:rPr>
        <w:t xml:space="preserve">Submitted by the members of the Audit Committee on </w:t>
      </w:r>
      <w:r w:rsidR="00A979A7" w:rsidRPr="006575AE">
        <w:rPr>
          <w:i/>
        </w:rPr>
        <w:t xml:space="preserve">March </w:t>
      </w:r>
      <w:r w:rsidR="009745B5">
        <w:rPr>
          <w:i/>
        </w:rPr>
        <w:t>24</w:t>
      </w:r>
      <w:r w:rsidRPr="003A48E6">
        <w:rPr>
          <w:i/>
        </w:rPr>
        <w:t>, 201</w:t>
      </w:r>
      <w:r w:rsidR="00D07B0F">
        <w:rPr>
          <w:i/>
        </w:rPr>
        <w:t>6</w:t>
      </w:r>
      <w:r w:rsidR="008669FF">
        <w:rPr>
          <w:i/>
        </w:rPr>
        <w:t>:</w:t>
      </w:r>
    </w:p>
    <w:p w:rsidR="00CD44FE" w:rsidRDefault="00CD44FE" w:rsidP="008C028A">
      <w:pPr>
        <w:keepNext/>
        <w:widowControl/>
        <w:spacing w:after="0"/>
        <w:ind w:left="720"/>
        <w:jc w:val="left"/>
      </w:pPr>
      <w:r>
        <w:t xml:space="preserve">Milton L. Scott, </w:t>
      </w:r>
      <w:r w:rsidRPr="00361AD4">
        <w:rPr>
          <w:i/>
        </w:rPr>
        <w:t>Chair</w:t>
      </w:r>
    </w:p>
    <w:p w:rsidR="00CD44FE" w:rsidRDefault="00CD44FE" w:rsidP="008C028A">
      <w:pPr>
        <w:keepNext/>
        <w:widowControl/>
        <w:spacing w:after="0"/>
        <w:ind w:left="720"/>
        <w:jc w:val="left"/>
      </w:pPr>
      <w:r>
        <w:t>Maarten D. Hemsley</w:t>
      </w:r>
    </w:p>
    <w:p w:rsidR="00CD44FE" w:rsidRDefault="00CD44FE" w:rsidP="00FF21AF">
      <w:pPr>
        <w:widowControl/>
        <w:ind w:left="720"/>
        <w:jc w:val="left"/>
      </w:pPr>
      <w:r>
        <w:t>Richard O. Schaum</w:t>
      </w:r>
    </w:p>
    <w:p w:rsidR="001A19D5" w:rsidRDefault="001A19D5" w:rsidP="00890B3A">
      <w:pPr>
        <w:widowControl/>
        <w:spacing w:after="60"/>
        <w:jc w:val="left"/>
      </w:pPr>
      <w:bookmarkStart w:id="68" w:name="_Toc381354129"/>
      <w:bookmarkStart w:id="69" w:name="_Toc445739574"/>
      <w:r w:rsidRPr="000A0B16">
        <w:rPr>
          <w:rStyle w:val="003ProxyChar"/>
          <w:b w:val="0"/>
        </w:rPr>
        <w:t>The Compensation Committee</w:t>
      </w:r>
      <w:bookmarkEnd w:id="68"/>
      <w:bookmarkEnd w:id="69"/>
      <w:r>
        <w:t xml:space="preserve">.  The </w:t>
      </w:r>
      <w:r w:rsidR="00A979A7">
        <w:t xml:space="preserve">current </w:t>
      </w:r>
      <w:r>
        <w:t xml:space="preserve">members of the Compensation Committee are Richard O. Schaum, Chair, </w:t>
      </w:r>
      <w:r w:rsidR="00A979A7">
        <w:t xml:space="preserve">Marian M. Davenport, </w:t>
      </w:r>
      <w:r w:rsidR="006D522D">
        <w:t>and Charles R. Patton</w:t>
      </w:r>
      <w:r w:rsidR="00A979A7">
        <w:t xml:space="preserve">.  </w:t>
      </w:r>
      <w:r>
        <w:t xml:space="preserve">The </w:t>
      </w:r>
      <w:r w:rsidR="00D23A2D">
        <w:t>Committee</w:t>
      </w:r>
      <w:r>
        <w:t xml:space="preserve"> </w:t>
      </w:r>
      <w:r w:rsidR="00C60A56">
        <w:t xml:space="preserve">holds </w:t>
      </w:r>
      <w:r w:rsidR="007D2578">
        <w:t xml:space="preserve">at least </w:t>
      </w:r>
      <w:r w:rsidR="00C60A56">
        <w:t>four regularly-schedule</w:t>
      </w:r>
      <w:r w:rsidR="00BD1F7E">
        <w:t>d</w:t>
      </w:r>
      <w:r w:rsidR="00C60A56">
        <w:t xml:space="preserve"> meetings each year.  </w:t>
      </w:r>
    </w:p>
    <w:p w:rsidR="001A19D5" w:rsidRDefault="001A19D5" w:rsidP="00890B3A">
      <w:pPr>
        <w:widowControl/>
        <w:spacing w:after="60"/>
        <w:jc w:val="left"/>
      </w:pPr>
      <w:r>
        <w:t xml:space="preserve">The </w:t>
      </w:r>
      <w:r w:rsidR="00D23A2D">
        <w:t>Compensation Committee</w:t>
      </w:r>
      <w:r>
        <w:t xml:space="preserve"> has the responsibility </w:t>
      </w:r>
      <w:r w:rsidR="00FF3C50">
        <w:t xml:space="preserve">to </w:t>
      </w:r>
      <w:r>
        <w:t>—</w:t>
      </w:r>
    </w:p>
    <w:p w:rsidR="001A19D5" w:rsidRDefault="00FF3C50" w:rsidP="00041AF0">
      <w:pPr>
        <w:pStyle w:val="ListParagraph"/>
        <w:widowControl/>
        <w:numPr>
          <w:ilvl w:val="0"/>
          <w:numId w:val="10"/>
        </w:numPr>
        <w:tabs>
          <w:tab w:val="left" w:pos="720"/>
        </w:tabs>
        <w:spacing w:after="60"/>
        <w:ind w:left="720"/>
        <w:contextualSpacing w:val="0"/>
        <w:jc w:val="left"/>
      </w:pPr>
      <w:r>
        <w:t>D</w:t>
      </w:r>
      <w:r w:rsidR="00041AF0" w:rsidRPr="00AA40DD">
        <w:t xml:space="preserve">etermine the type, </w:t>
      </w:r>
      <w:r w:rsidR="00041AF0">
        <w:t xml:space="preserve">the </w:t>
      </w:r>
      <w:r w:rsidR="00041AF0" w:rsidRPr="00AA40DD">
        <w:t xml:space="preserve">amount, </w:t>
      </w:r>
      <w:r w:rsidR="00041AF0">
        <w:t xml:space="preserve">the </w:t>
      </w:r>
      <w:r w:rsidR="00041AF0" w:rsidRPr="00AA40DD">
        <w:t xml:space="preserve">manner and </w:t>
      </w:r>
      <w:r w:rsidR="00041AF0">
        <w:t xml:space="preserve">the </w:t>
      </w:r>
      <w:r w:rsidR="00041AF0" w:rsidRPr="00AA40DD">
        <w:t xml:space="preserve">time of payment, of salary, incentive compensation and any other compensation </w:t>
      </w:r>
      <w:r w:rsidR="00041AF0">
        <w:t xml:space="preserve">that is paid to </w:t>
      </w:r>
      <w:r w:rsidR="00041AF0" w:rsidRPr="00AA40DD">
        <w:t>officers of the Company</w:t>
      </w:r>
      <w:r w:rsidR="00041AF0">
        <w:t xml:space="preserve"> </w:t>
      </w:r>
      <w:r w:rsidR="00041AF0" w:rsidRPr="00AA40DD">
        <w:t>and</w:t>
      </w:r>
      <w:r w:rsidR="00041AF0">
        <w:t xml:space="preserve"> the principal executive officer</w:t>
      </w:r>
      <w:r>
        <w:t>s</w:t>
      </w:r>
      <w:r w:rsidR="00041AF0" w:rsidRPr="00AA40DD">
        <w:t xml:space="preserve"> </w:t>
      </w:r>
      <w:r w:rsidR="00041AF0">
        <w:t xml:space="preserve">of </w:t>
      </w:r>
      <w:r w:rsidR="00041AF0" w:rsidRPr="00AA40DD">
        <w:t>the Company's subsidiaries</w:t>
      </w:r>
      <w:r w:rsidR="005B1C74">
        <w:t>;</w:t>
      </w:r>
      <w:r w:rsidR="00041AF0">
        <w:t xml:space="preserve">  </w:t>
      </w:r>
    </w:p>
    <w:p w:rsidR="00041AF0" w:rsidRDefault="00FF3C50" w:rsidP="00041AF0">
      <w:pPr>
        <w:pStyle w:val="ListParagraph"/>
        <w:widowControl/>
        <w:numPr>
          <w:ilvl w:val="0"/>
          <w:numId w:val="10"/>
        </w:numPr>
        <w:tabs>
          <w:tab w:val="left" w:pos="720"/>
        </w:tabs>
        <w:spacing w:after="60"/>
        <w:ind w:left="720"/>
        <w:contextualSpacing w:val="0"/>
        <w:jc w:val="left"/>
      </w:pPr>
      <w:r>
        <w:t>S</w:t>
      </w:r>
      <w:r w:rsidR="00041AF0" w:rsidRPr="00041AF0">
        <w:t xml:space="preserve">et any goals, financial or </w:t>
      </w:r>
      <w:r w:rsidR="00954C7E">
        <w:t>individual</w:t>
      </w:r>
      <w:r w:rsidR="00041AF0" w:rsidRPr="00041AF0">
        <w:t xml:space="preserve">, pursuant to which any incentive compensation may be earned by an </w:t>
      </w:r>
      <w:r w:rsidR="00041AF0">
        <w:t>o</w:t>
      </w:r>
      <w:r w:rsidR="00041AF0" w:rsidRPr="00041AF0">
        <w:t xml:space="preserve">fficer, and </w:t>
      </w:r>
      <w:r w:rsidR="00041AF0">
        <w:t xml:space="preserve">to </w:t>
      </w:r>
      <w:r w:rsidR="00041AF0" w:rsidRPr="00041AF0">
        <w:t>determine the level of achievement, if any, of those goals</w:t>
      </w:r>
      <w:r w:rsidR="005B1C74">
        <w:t>;</w:t>
      </w:r>
    </w:p>
    <w:p w:rsidR="00041AF0" w:rsidRDefault="00FF3C50" w:rsidP="00041AF0">
      <w:pPr>
        <w:pStyle w:val="ListParagraph"/>
        <w:widowControl/>
        <w:numPr>
          <w:ilvl w:val="0"/>
          <w:numId w:val="10"/>
        </w:numPr>
        <w:tabs>
          <w:tab w:val="left" w:pos="720"/>
        </w:tabs>
        <w:spacing w:after="60"/>
        <w:ind w:left="720"/>
        <w:contextualSpacing w:val="0"/>
        <w:jc w:val="left"/>
      </w:pPr>
      <w:r>
        <w:t>D</w:t>
      </w:r>
      <w:r w:rsidR="00041AF0" w:rsidRPr="00041AF0">
        <w:t xml:space="preserve">etermine the terms and conditions of </w:t>
      </w:r>
      <w:r w:rsidR="00041AF0">
        <w:t>o</w:t>
      </w:r>
      <w:r w:rsidR="00041AF0" w:rsidRPr="00041AF0">
        <w:t>fficers' employment agreements and severance arrangements</w:t>
      </w:r>
      <w:r w:rsidR="005B1C74">
        <w:t>;</w:t>
      </w:r>
    </w:p>
    <w:p w:rsidR="00041AF0" w:rsidRDefault="0052391A" w:rsidP="00041AF0">
      <w:pPr>
        <w:pStyle w:val="ListParagraph"/>
        <w:widowControl/>
        <w:numPr>
          <w:ilvl w:val="0"/>
          <w:numId w:val="10"/>
        </w:numPr>
        <w:tabs>
          <w:tab w:val="left" w:pos="720"/>
        </w:tabs>
        <w:spacing w:after="60"/>
        <w:ind w:left="720"/>
        <w:contextualSpacing w:val="0"/>
        <w:jc w:val="left"/>
      </w:pPr>
      <w:r>
        <w:lastRenderedPageBreak/>
        <w:t>D</w:t>
      </w:r>
      <w:r w:rsidR="00041AF0" w:rsidRPr="00041AF0">
        <w:t>etermine which, if any, employees of the Company and its subsidiaries and affiliates are provided with change-in-control severance benefits, and the terms a</w:t>
      </w:r>
      <w:r w:rsidR="005B1C74">
        <w:t>nd conditions of those benefits;</w:t>
      </w:r>
    </w:p>
    <w:p w:rsidR="001A19D5" w:rsidRDefault="0052391A" w:rsidP="00041AF0">
      <w:pPr>
        <w:pStyle w:val="ListParagraph"/>
        <w:widowControl/>
        <w:numPr>
          <w:ilvl w:val="0"/>
          <w:numId w:val="10"/>
        </w:numPr>
        <w:tabs>
          <w:tab w:val="left" w:pos="720"/>
        </w:tabs>
        <w:spacing w:after="60"/>
        <w:ind w:left="720"/>
        <w:contextualSpacing w:val="0"/>
        <w:jc w:val="left"/>
      </w:pPr>
      <w:r>
        <w:t>A</w:t>
      </w:r>
      <w:r w:rsidR="001A19D5">
        <w:t>dminister the Company's stock plans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1A19D5">
        <w:t>eview and make recommendations on the Company's benefit plans</w:t>
      </w:r>
      <w:r w:rsidR="005B1C74">
        <w:t>;</w:t>
      </w:r>
    </w:p>
    <w:p w:rsidR="001A19D5" w:rsidRDefault="0052391A" w:rsidP="00890B3A">
      <w:pPr>
        <w:pStyle w:val="ListParagraph"/>
        <w:widowControl/>
        <w:numPr>
          <w:ilvl w:val="0"/>
          <w:numId w:val="10"/>
        </w:numPr>
        <w:tabs>
          <w:tab w:val="left" w:pos="720"/>
        </w:tabs>
        <w:spacing w:after="60"/>
        <w:ind w:left="720"/>
        <w:contextualSpacing w:val="0"/>
        <w:jc w:val="left"/>
      </w:pPr>
      <w:r>
        <w:t>E</w:t>
      </w:r>
      <w:r w:rsidR="001A19D5">
        <w:t>valuate risks that arise from the Company's compensation policies and practices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1A19D5">
        <w:t>eview and advise the Corporate Governance &amp; Nominating Committee on the compensation of non-employee directors</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E</w:t>
      </w:r>
      <w:r w:rsidR="00BB74A4">
        <w:t>stablish</w:t>
      </w:r>
      <w:r w:rsidR="001A19D5">
        <w:t xml:space="preserve"> the compensation of non-employee directors who serve on </w:t>
      </w:r>
      <w:r w:rsidR="001A19D5" w:rsidRPr="00436C04">
        <w:rPr>
          <w:i/>
        </w:rPr>
        <w:t>ad hoc</w:t>
      </w:r>
      <w:r w:rsidR="001A19D5">
        <w:t xml:space="preserve"> committees of the Board</w:t>
      </w:r>
      <w:r w:rsidR="005B1C74">
        <w:t>;</w:t>
      </w:r>
      <w:r w:rsidR="001A19D5">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A</w:t>
      </w:r>
      <w:r w:rsidR="001A19D5">
        <w:t>ppoint, retain, compensate and oversee the work of compensation consultants, independent legal counsel</w:t>
      </w:r>
      <w:r w:rsidR="000057BB">
        <w:t>,</w:t>
      </w:r>
      <w:r w:rsidR="001A19D5">
        <w:t xml:space="preserve"> and other compensation advisers</w:t>
      </w:r>
      <w:r w:rsidR="00BF0C94">
        <w:t>,</w:t>
      </w:r>
      <w:r w:rsidR="001A19D5">
        <w:t xml:space="preserve"> and to consider certain independence factors before selecting </w:t>
      </w:r>
      <w:r w:rsidR="005437D3">
        <w:t>them</w:t>
      </w:r>
      <w:r w:rsidR="005B1C74">
        <w:t>;</w:t>
      </w:r>
      <w:r w:rsidR="00BF0C94">
        <w:t xml:space="preserve"> </w:t>
      </w:r>
      <w:r w:rsidR="005B1C74">
        <w:t>and</w:t>
      </w:r>
      <w:r w:rsidR="00BF0C94">
        <w:t xml:space="preserve"> </w:t>
      </w:r>
    </w:p>
    <w:p w:rsidR="001A19D5" w:rsidRDefault="0052391A" w:rsidP="00890B3A">
      <w:pPr>
        <w:pStyle w:val="ListParagraph"/>
        <w:widowControl/>
        <w:numPr>
          <w:ilvl w:val="0"/>
          <w:numId w:val="10"/>
        </w:numPr>
        <w:tabs>
          <w:tab w:val="left" w:pos="720"/>
        </w:tabs>
        <w:spacing w:after="60"/>
        <w:ind w:left="720"/>
        <w:contextualSpacing w:val="0"/>
        <w:jc w:val="left"/>
      </w:pPr>
      <w:r>
        <w:t>R</w:t>
      </w:r>
      <w:r w:rsidR="007A3CE5">
        <w:t>eview and discuss with m</w:t>
      </w:r>
      <w:r w:rsidR="001A19D5">
        <w:t xml:space="preserve">anagement the Company's Compensation Discussion and Analysis, and based on that review and those discussions, </w:t>
      </w:r>
      <w:r w:rsidR="007045DE">
        <w:t xml:space="preserve">to </w:t>
      </w:r>
      <w:r w:rsidR="001A19D5">
        <w:t xml:space="preserve">determine whether to recommend that it be included in the Company's Annual Report on Form 10-K.  </w:t>
      </w:r>
    </w:p>
    <w:p w:rsidR="001A19D5" w:rsidRDefault="001A19D5" w:rsidP="00890B3A">
      <w:pPr>
        <w:widowControl/>
        <w:spacing w:after="60"/>
        <w:jc w:val="left"/>
      </w:pPr>
      <w:r>
        <w:t xml:space="preserve">In exercising its authority and carrying out its responsibilities, the </w:t>
      </w:r>
      <w:r w:rsidR="00EA3B1A">
        <w:t>Compensation Committee</w:t>
      </w:r>
      <w:r>
        <w:t xml:space="preserve"> meets to discuss the </w:t>
      </w:r>
      <w:r w:rsidR="00C52AD7">
        <w:t>structure of executive compensation</w:t>
      </w:r>
      <w:r>
        <w:t xml:space="preserve">, proposed employment agreements, salaries, cash and equity incentive awards, and the achievement and the setting of </w:t>
      </w:r>
      <w:r w:rsidR="009C18D0">
        <w:t xml:space="preserve">financial and </w:t>
      </w:r>
      <w:r w:rsidR="00954C7E">
        <w:t xml:space="preserve">individual performance goals </w:t>
      </w:r>
      <w:r>
        <w:t>on which executive incentive compensation is based, using information circulated in advanc</w:t>
      </w:r>
      <w:r w:rsidR="001C3C51">
        <w:t>e of the meeting by the Chair</w:t>
      </w:r>
      <w:r>
        <w:t xml:space="preserve"> of the Committee.  The </w:t>
      </w:r>
      <w:r w:rsidR="00EA3B1A">
        <w:t>Compensation Committee</w:t>
      </w:r>
      <w:r>
        <w:t xml:space="preserve"> may not delegate any of its responsibilities, but may share them with other independent directors.  </w:t>
      </w:r>
      <w:r w:rsidR="009C18D0">
        <w:t>When t</w:t>
      </w:r>
      <w:r>
        <w:t xml:space="preserve">he </w:t>
      </w:r>
      <w:r w:rsidR="00EA3B1A">
        <w:t>Committee</w:t>
      </w:r>
      <w:r>
        <w:t xml:space="preserve"> </w:t>
      </w:r>
      <w:r w:rsidR="008E05C2">
        <w:t>d</w:t>
      </w:r>
      <w:r>
        <w:t xml:space="preserve">iscusses </w:t>
      </w:r>
      <w:r w:rsidR="009C18D0">
        <w:t xml:space="preserve">an </w:t>
      </w:r>
      <w:r>
        <w:t>executive officer</w:t>
      </w:r>
      <w:r w:rsidR="009C18D0">
        <w:t>'s compensation, he or she may not be present</w:t>
      </w:r>
      <w:r>
        <w:t>.  For a description of the compensati</w:t>
      </w:r>
      <w:r w:rsidR="009C18D0">
        <w:t>on of executives of the Company</w:t>
      </w:r>
      <w:r>
        <w:t xml:space="preserve">, see the information below under the heading </w:t>
      </w:r>
      <w:r w:rsidRPr="00893DAA">
        <w:rPr>
          <w:i/>
        </w:rPr>
        <w:t>Executive Compensation</w:t>
      </w:r>
      <w:r>
        <w:t>.</w:t>
      </w:r>
    </w:p>
    <w:p w:rsidR="001A19D5" w:rsidRDefault="001A19D5" w:rsidP="00890B3A">
      <w:pPr>
        <w:widowControl/>
        <w:spacing w:after="60"/>
        <w:jc w:val="left"/>
      </w:pPr>
      <w:bookmarkStart w:id="70" w:name="_Toc381354130"/>
      <w:bookmarkStart w:id="71" w:name="_Toc445739575"/>
      <w:r w:rsidRPr="000A0B16">
        <w:rPr>
          <w:rStyle w:val="003ProxyChar"/>
          <w:b w:val="0"/>
        </w:rPr>
        <w:t>Compensation Committee Interlocks and Insider Participation</w:t>
      </w:r>
      <w:bookmarkEnd w:id="70"/>
      <w:bookmarkEnd w:id="71"/>
      <w:r>
        <w:t>.  During 201</w:t>
      </w:r>
      <w:r w:rsidR="00041AF0">
        <w:t>5</w:t>
      </w:r>
      <w:r>
        <w:t xml:space="preserve">, </w:t>
      </w:r>
      <w:r w:rsidR="003D6D2E">
        <w:t>Marian M. Davenport</w:t>
      </w:r>
      <w:r w:rsidR="00041AF0">
        <w:t xml:space="preserve">, </w:t>
      </w:r>
      <w:r>
        <w:t xml:space="preserve">Maarten D. Hemsley, Charles R. Patton, and Richard O. Schaum served on the Compensation Committee.  None of these </w:t>
      </w:r>
      <w:r w:rsidR="00EA3B1A">
        <w:t>Committee</w:t>
      </w:r>
      <w:r>
        <w:t xml:space="preserve"> members </w:t>
      </w:r>
      <w:r w:rsidR="0040175A">
        <w:t>was in 201</w:t>
      </w:r>
      <w:r w:rsidR="00041AF0">
        <w:t>5</w:t>
      </w:r>
      <w:r w:rsidR="00BF4872">
        <w:t xml:space="preserve">, or within the last </w:t>
      </w:r>
      <w:r w:rsidR="00D20BE6">
        <w:t>eight</w:t>
      </w:r>
      <w:r>
        <w:t xml:space="preserve"> years has been</w:t>
      </w:r>
      <w:r w:rsidR="000503DB">
        <w:t>,</w:t>
      </w:r>
      <w:r w:rsidR="009F7EF1">
        <w:t xml:space="preserve"> </w:t>
      </w:r>
      <w:r>
        <w:t xml:space="preserve">an officer or employee of the Company.  </w:t>
      </w:r>
    </w:p>
    <w:p w:rsidR="001A19D5" w:rsidRDefault="001A19D5" w:rsidP="00890B3A">
      <w:pPr>
        <w:widowControl/>
        <w:spacing w:after="60"/>
        <w:jc w:val="left"/>
      </w:pPr>
      <w:r>
        <w:t>None of the Company's executive officers served as a director or member of the compensation committee, or of any other committee serving an equivalent function, of any other entity that has an executive officer who is serving</w:t>
      </w:r>
      <w:r w:rsidR="00F873A7">
        <w:t>,</w:t>
      </w:r>
      <w:r>
        <w:t xml:space="preserve"> or during 201</w:t>
      </w:r>
      <w:r w:rsidR="00041AF0">
        <w:t>5</w:t>
      </w:r>
      <w:r>
        <w:t xml:space="preserve"> served as a director or member of the Compensation Committee of the Company.  </w:t>
      </w:r>
    </w:p>
    <w:p w:rsidR="001A19D5" w:rsidRDefault="001A19D5" w:rsidP="00890B3A">
      <w:pPr>
        <w:widowControl/>
        <w:spacing w:after="60"/>
        <w:jc w:val="left"/>
      </w:pPr>
      <w:bookmarkStart w:id="72" w:name="_Toc381354131"/>
      <w:bookmarkStart w:id="73" w:name="_Toc445739576"/>
      <w:r w:rsidRPr="000A0B16">
        <w:rPr>
          <w:rStyle w:val="003ProxyChar"/>
          <w:b w:val="0"/>
        </w:rPr>
        <w:t>The Compensation Committee Report</w:t>
      </w:r>
      <w:bookmarkEnd w:id="72"/>
      <w:bookmarkEnd w:id="73"/>
      <w:r>
        <w:t xml:space="preserve">.  The Compensation Committee of the Board of Directors has reviewed and discussed with management the </w:t>
      </w:r>
      <w:r w:rsidRPr="009F7EF1">
        <w:rPr>
          <w:i/>
        </w:rPr>
        <w:t>Compensation Discussion and Analysis</w:t>
      </w:r>
      <w:r>
        <w:t xml:space="preserve"> set forth below under the heading </w:t>
      </w:r>
      <w:r w:rsidRPr="00411164">
        <w:rPr>
          <w:i/>
        </w:rPr>
        <w:t>Executive Compensation</w:t>
      </w:r>
      <w:r>
        <w:t xml:space="preserve">.  Based on that review and those discussions, the </w:t>
      </w:r>
      <w:r w:rsidR="00EA3B1A">
        <w:t>Compensation Committee</w:t>
      </w:r>
      <w:r>
        <w:t xml:space="preserve"> recommended to the Board of Directors that the </w:t>
      </w:r>
      <w:r w:rsidRPr="009F7EF1">
        <w:rPr>
          <w:i/>
        </w:rPr>
        <w:t>Compensation Discussion and Analysis</w:t>
      </w:r>
      <w:r>
        <w:t xml:space="preserve"> be included in the Company's proxy statement on Schedule </w:t>
      </w:r>
      <w:proofErr w:type="spellStart"/>
      <w:r>
        <w:t>14A</w:t>
      </w:r>
      <w:proofErr w:type="spellEnd"/>
      <w:r>
        <w:t>.</w:t>
      </w:r>
    </w:p>
    <w:p w:rsidR="001A19D5" w:rsidRPr="001A19D5" w:rsidRDefault="001A19D5" w:rsidP="00890B3A">
      <w:pPr>
        <w:widowControl/>
        <w:spacing w:after="60"/>
        <w:ind w:left="360"/>
        <w:jc w:val="left"/>
        <w:rPr>
          <w:i/>
        </w:rPr>
      </w:pPr>
      <w:r w:rsidRPr="001A19D5">
        <w:rPr>
          <w:i/>
        </w:rPr>
        <w:t xml:space="preserve">Submitted by the members of the Compensation Committee on </w:t>
      </w:r>
      <w:r w:rsidR="00A979A7" w:rsidRPr="009C317F">
        <w:rPr>
          <w:i/>
        </w:rPr>
        <w:t xml:space="preserve">March </w:t>
      </w:r>
      <w:r w:rsidR="001C5398">
        <w:rPr>
          <w:i/>
        </w:rPr>
        <w:t>24</w:t>
      </w:r>
      <w:r w:rsidRPr="00D661A4">
        <w:rPr>
          <w:i/>
        </w:rPr>
        <w:t>, 201</w:t>
      </w:r>
      <w:r w:rsidR="00D3705D">
        <w:rPr>
          <w:i/>
        </w:rPr>
        <w:t>6</w:t>
      </w:r>
      <w:r>
        <w:rPr>
          <w:i/>
        </w:rPr>
        <w:t>:</w:t>
      </w:r>
    </w:p>
    <w:p w:rsidR="001A19D5" w:rsidRDefault="001A19D5" w:rsidP="000A0B16">
      <w:pPr>
        <w:widowControl/>
        <w:spacing w:after="0"/>
        <w:ind w:left="720"/>
        <w:jc w:val="left"/>
      </w:pPr>
      <w:r>
        <w:t xml:space="preserve">Richard O. Schaum, </w:t>
      </w:r>
      <w:r w:rsidRPr="000A0B16">
        <w:rPr>
          <w:i/>
        </w:rPr>
        <w:t>Chair</w:t>
      </w:r>
    </w:p>
    <w:p w:rsidR="006D522D" w:rsidRDefault="006D522D" w:rsidP="000A0B16">
      <w:pPr>
        <w:widowControl/>
        <w:spacing w:after="0"/>
        <w:ind w:left="720"/>
        <w:jc w:val="left"/>
      </w:pPr>
      <w:r>
        <w:t>Marian M. Davenport</w:t>
      </w:r>
    </w:p>
    <w:p w:rsidR="006D522D" w:rsidRDefault="00EA413E" w:rsidP="00EA413E">
      <w:pPr>
        <w:widowControl/>
        <w:ind w:left="720"/>
        <w:jc w:val="left"/>
      </w:pPr>
      <w:r>
        <w:t>Charles R. Patton</w:t>
      </w:r>
    </w:p>
    <w:p w:rsidR="00BF0D59" w:rsidRDefault="00BF0D59" w:rsidP="00890B3A">
      <w:pPr>
        <w:widowControl/>
        <w:spacing w:after="60"/>
        <w:jc w:val="left"/>
      </w:pPr>
      <w:bookmarkStart w:id="74" w:name="_Toc381354132"/>
      <w:bookmarkStart w:id="75" w:name="_Toc445739577"/>
      <w:r w:rsidRPr="000A0B16">
        <w:rPr>
          <w:rStyle w:val="003ProxyChar"/>
          <w:b w:val="0"/>
        </w:rPr>
        <w:t>The Corporate Governance &amp; Nominating Committee</w:t>
      </w:r>
      <w:bookmarkEnd w:id="74"/>
      <w:bookmarkEnd w:id="75"/>
      <w:r>
        <w:t xml:space="preserve">.  The </w:t>
      </w:r>
      <w:r w:rsidR="00A979A7">
        <w:t xml:space="preserve">current </w:t>
      </w:r>
      <w:r>
        <w:t xml:space="preserve">members of the Corporate Governance &amp; Nominating Committee are </w:t>
      </w:r>
      <w:r w:rsidR="007940FC">
        <w:t xml:space="preserve">Marian M. Davenport, Chair, </w:t>
      </w:r>
      <w:r>
        <w:t>Maarten D. Hemsley</w:t>
      </w:r>
      <w:r w:rsidR="00965384">
        <w:t>,</w:t>
      </w:r>
      <w:r>
        <w:t xml:space="preserve"> and Milton L. Scott.  The </w:t>
      </w:r>
      <w:r w:rsidR="00EA3B1A">
        <w:t>Committee</w:t>
      </w:r>
      <w:r>
        <w:t xml:space="preserve"> </w:t>
      </w:r>
      <w:r w:rsidR="00BA6BE7">
        <w:t xml:space="preserve">typically holds </w:t>
      </w:r>
      <w:r w:rsidR="005B1C74">
        <w:t xml:space="preserve">three to </w:t>
      </w:r>
      <w:r w:rsidR="00BA6BE7">
        <w:t>four regularly-scheduled meeting</w:t>
      </w:r>
      <w:r w:rsidR="00087C88">
        <w:t>s</w:t>
      </w:r>
      <w:r w:rsidR="00BA6BE7">
        <w:t xml:space="preserve"> a year</w:t>
      </w:r>
      <w:r>
        <w:t xml:space="preserve">.  </w:t>
      </w:r>
      <w:r>
        <w:lastRenderedPageBreak/>
        <w:t xml:space="preserve">The </w:t>
      </w:r>
      <w:r w:rsidR="00EA3B1A">
        <w:t>Corporate Governance &amp; Nominating Committee</w:t>
      </w:r>
      <w:r>
        <w:t xml:space="preserve"> assists the Board in fulfilling its </w:t>
      </w:r>
      <w:r w:rsidR="00276A37">
        <w:t xml:space="preserve">corporate governance responsibilities, </w:t>
      </w:r>
      <w:r>
        <w:t xml:space="preserve">and in particular has the responsibility to </w:t>
      </w:r>
      <w:r w:rsidR="0054507C">
        <w:t>—</w:t>
      </w:r>
    </w:p>
    <w:p w:rsidR="00BF0D59" w:rsidRDefault="00BF0D59" w:rsidP="00890B3A">
      <w:pPr>
        <w:pStyle w:val="ListParagraph"/>
        <w:keepNext/>
        <w:widowControl/>
        <w:numPr>
          <w:ilvl w:val="0"/>
          <w:numId w:val="11"/>
        </w:numPr>
        <w:tabs>
          <w:tab w:val="left" w:pos="720"/>
        </w:tabs>
        <w:spacing w:after="60"/>
        <w:ind w:left="720"/>
        <w:contextualSpacing w:val="0"/>
        <w:jc w:val="left"/>
      </w:pPr>
      <w:r>
        <w:t>Develop and recommend to the Board appropriate corporate governance principles and rules;</w:t>
      </w:r>
    </w:p>
    <w:p w:rsidR="00BF0D59" w:rsidRDefault="00BF0D59" w:rsidP="00890B3A">
      <w:pPr>
        <w:pStyle w:val="ListParagraph"/>
        <w:keepNext/>
        <w:widowControl/>
        <w:numPr>
          <w:ilvl w:val="0"/>
          <w:numId w:val="11"/>
        </w:numPr>
        <w:tabs>
          <w:tab w:val="left" w:pos="720"/>
        </w:tabs>
        <w:spacing w:after="60"/>
        <w:ind w:left="720"/>
        <w:contextualSpacing w:val="0"/>
        <w:jc w:val="left"/>
      </w:pPr>
      <w:r>
        <w:t>Recommend appropriate policies and procedures to ensure the effective functioning of the Board;</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Identify and recommend </w:t>
      </w:r>
      <w:r w:rsidR="00C40A42">
        <w:t xml:space="preserve">qualified director candidates for nomination by </w:t>
      </w:r>
      <w:r>
        <w:t xml:space="preserve">the Board </w:t>
      </w:r>
      <w:r w:rsidR="00C40A42">
        <w:t xml:space="preserve">and </w:t>
      </w:r>
      <w:r>
        <w:t>election by stockholders;</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Recommend directors for membership on Board committees; </w:t>
      </w:r>
    </w:p>
    <w:p w:rsidR="00BF0D59" w:rsidRDefault="00BF0D59" w:rsidP="00890B3A">
      <w:pPr>
        <w:pStyle w:val="ListParagraph"/>
        <w:widowControl/>
        <w:numPr>
          <w:ilvl w:val="0"/>
          <w:numId w:val="11"/>
        </w:numPr>
        <w:tabs>
          <w:tab w:val="left" w:pos="720"/>
        </w:tabs>
        <w:spacing w:after="60"/>
        <w:ind w:left="720"/>
        <w:contextualSpacing w:val="0"/>
        <w:jc w:val="left"/>
      </w:pPr>
      <w:r>
        <w:t>Develop and make recommendations to the Board regarding standards and processes for determining the independence of directors under applicable laws, rules and regulations;</w:t>
      </w:r>
    </w:p>
    <w:p w:rsidR="00BF0D59" w:rsidRDefault="00BF0D59" w:rsidP="00890B3A">
      <w:pPr>
        <w:pStyle w:val="ListParagraph"/>
        <w:widowControl/>
        <w:numPr>
          <w:ilvl w:val="0"/>
          <w:numId w:val="11"/>
        </w:numPr>
        <w:tabs>
          <w:tab w:val="left" w:pos="720"/>
        </w:tabs>
        <w:spacing w:after="60"/>
        <w:ind w:left="720"/>
        <w:contextualSpacing w:val="0"/>
        <w:jc w:val="left"/>
      </w:pPr>
      <w:r>
        <w:t xml:space="preserve">Develop and oversee the operation of an orientation program for new directors and </w:t>
      </w:r>
      <w:r w:rsidR="00436E5F">
        <w:t xml:space="preserve">to </w:t>
      </w:r>
      <w:r>
        <w:t xml:space="preserve">determine whether and what form and level of continuing </w:t>
      </w:r>
      <w:r w:rsidR="007B2BA9">
        <w:t xml:space="preserve">director </w:t>
      </w:r>
      <w:r>
        <w:t>education is appropriate;</w:t>
      </w:r>
    </w:p>
    <w:p w:rsidR="00BF0D59" w:rsidRDefault="00BF0D59" w:rsidP="00890B3A">
      <w:pPr>
        <w:pStyle w:val="ListParagraph"/>
        <w:widowControl/>
        <w:numPr>
          <w:ilvl w:val="0"/>
          <w:numId w:val="11"/>
        </w:numPr>
        <w:tabs>
          <w:tab w:val="left" w:pos="720"/>
        </w:tabs>
        <w:spacing w:after="60"/>
        <w:ind w:left="720"/>
        <w:contextualSpacing w:val="0"/>
        <w:jc w:val="left"/>
      </w:pPr>
      <w:r>
        <w:t>Periodically review the Company's Code of Business Conduct and its Insider Trading Policy to ensure that they remain responsive both to legal requirements and to the nature and size of the business; and</w:t>
      </w:r>
    </w:p>
    <w:p w:rsidR="00BF0D59" w:rsidRDefault="00BF0D59" w:rsidP="005D64D0">
      <w:pPr>
        <w:pStyle w:val="ListParagraph"/>
        <w:widowControl/>
        <w:numPr>
          <w:ilvl w:val="0"/>
          <w:numId w:val="11"/>
        </w:numPr>
        <w:tabs>
          <w:tab w:val="left" w:pos="720"/>
        </w:tabs>
        <w:spacing w:after="60"/>
        <w:ind w:left="720"/>
        <w:contextualSpacing w:val="0"/>
        <w:jc w:val="left"/>
      </w:pPr>
      <w:r>
        <w:t>With the adv</w:t>
      </w:r>
      <w:r w:rsidR="001C3C51">
        <w:t>ice of the Chair</w:t>
      </w:r>
      <w:r>
        <w:t xml:space="preserve"> of the Compensation Committee, make recommendations to the Board for the </w:t>
      </w:r>
      <w:r w:rsidR="00053E0E">
        <w:t>compensation</w:t>
      </w:r>
      <w:r>
        <w:t xml:space="preserve"> of non-employee directors, members </w:t>
      </w:r>
      <w:r w:rsidR="00AC30B7">
        <w:t>and Chair</w:t>
      </w:r>
      <w:r w:rsidR="00834C48">
        <w:t>s</w:t>
      </w:r>
      <w:r w:rsidR="00AC30B7">
        <w:t xml:space="preserve"> </w:t>
      </w:r>
      <w:r>
        <w:t>of the Company's standing committees</w:t>
      </w:r>
      <w:r w:rsidR="00AC30B7">
        <w:t>, and the Chairman of the Board</w:t>
      </w:r>
      <w:r>
        <w:t>.</w:t>
      </w:r>
      <w:r w:rsidR="00AC30B7" w:rsidRPr="00AC30B7">
        <w:t xml:space="preserve"> </w:t>
      </w:r>
    </w:p>
    <w:p w:rsidR="003D3985" w:rsidRPr="0084589A" w:rsidRDefault="00BF0D59" w:rsidP="00890B3A">
      <w:pPr>
        <w:keepNext/>
        <w:widowControl/>
        <w:spacing w:after="40"/>
        <w:jc w:val="left"/>
      </w:pPr>
      <w:bookmarkStart w:id="76" w:name="_Toc381354133"/>
      <w:bookmarkStart w:id="77" w:name="_Toc445739578"/>
      <w:r w:rsidRPr="0084589A">
        <w:rPr>
          <w:rStyle w:val="003ProxyChar"/>
        </w:rPr>
        <w:t>Director Compensation</w:t>
      </w:r>
      <w:bookmarkEnd w:id="76"/>
      <w:bookmarkEnd w:id="77"/>
      <w:r w:rsidRPr="0084589A">
        <w:t xml:space="preserve">.  </w:t>
      </w:r>
    </w:p>
    <w:p w:rsidR="00A74734" w:rsidRDefault="00582FF2" w:rsidP="00582FF2">
      <w:pPr>
        <w:widowControl/>
        <w:spacing w:after="240"/>
        <w:jc w:val="left"/>
      </w:pPr>
      <w:bookmarkStart w:id="78" w:name="_Toc381354134"/>
      <w:r w:rsidRPr="0084589A">
        <w:rPr>
          <w:i/>
        </w:rPr>
        <w:t>Standard Director Compensation Arrangements</w:t>
      </w:r>
      <w:bookmarkEnd w:id="78"/>
      <w:r w:rsidRPr="0084589A">
        <w:rPr>
          <w:i/>
        </w:rPr>
        <w:t>.</w:t>
      </w:r>
      <w:r w:rsidRPr="0084589A">
        <w:t xml:space="preserve">  The following table shows the standard compensation arrangements for non-employee directors in effect</w:t>
      </w:r>
      <w:r w:rsidR="00370161" w:rsidRPr="0084589A">
        <w:t xml:space="preserve"> on the date of this Proxy Statement</w:t>
      </w:r>
      <w:r w:rsidRPr="0084589A">
        <w:t xml:space="preserve">.  Non-employee directors are also compensated for service on </w:t>
      </w:r>
      <w:r w:rsidRPr="0084589A">
        <w:rPr>
          <w:i/>
        </w:rPr>
        <w:t>ad hoc</w:t>
      </w:r>
      <w:r w:rsidRPr="0084589A">
        <w:t xml:space="preserve"> committees, the fees for which are determined by the Compensation Committee as the need arises.  </w:t>
      </w:r>
      <w:r w:rsidR="00742E30">
        <w:t xml:space="preserve">The Company does not pay any additional compensation for serving on the Board to directors who are also employees of the Company or its affiliates.  All directors are reimbursed for their reasonable out-of-pocket expenses incurred in attending meetings of the Board and its committees.  </w:t>
      </w:r>
      <w:r w:rsidR="00911088">
        <w:t>F</w:t>
      </w:r>
      <w:r w:rsidR="00371A55">
        <w:t xml:space="preserve">ollowing </w:t>
      </w:r>
      <w:r w:rsidR="00742E30">
        <w:t xml:space="preserve">the </w:t>
      </w:r>
      <w:r w:rsidR="00371A55">
        <w:t xml:space="preserve">table </w:t>
      </w:r>
      <w:r w:rsidR="00742E30">
        <w:t xml:space="preserve">below </w:t>
      </w:r>
      <w:r w:rsidR="00911088">
        <w:t xml:space="preserve">is </w:t>
      </w:r>
      <w:r w:rsidR="006975E3">
        <w:t xml:space="preserve">a second </w:t>
      </w:r>
      <w:r w:rsidR="00911088">
        <w:t xml:space="preserve">table that </w:t>
      </w:r>
      <w:r w:rsidR="00370161">
        <w:t>shows</w:t>
      </w:r>
      <w:r w:rsidRPr="00582FF2">
        <w:t xml:space="preserve"> the amount of fees </w:t>
      </w:r>
      <w:r w:rsidR="00FD670E">
        <w:t xml:space="preserve">and other compensation </w:t>
      </w:r>
      <w:r w:rsidR="00742E30">
        <w:t xml:space="preserve">actually </w:t>
      </w:r>
      <w:r w:rsidRPr="00582FF2">
        <w:t>paid to directors for 201</w:t>
      </w:r>
      <w:r w:rsidR="00C35D4B">
        <w:t>5</w:t>
      </w:r>
      <w:r w:rsidRPr="00582FF2">
        <w:t xml:space="preserve">.  </w:t>
      </w:r>
    </w:p>
    <w:tbl>
      <w:tblPr>
        <w:tblW w:w="7813" w:type="dxa"/>
        <w:jc w:val="center"/>
        <w:tblCellMar>
          <w:top w:w="58" w:type="dxa"/>
          <w:left w:w="115" w:type="dxa"/>
          <w:bottom w:w="58" w:type="dxa"/>
          <w:right w:w="115" w:type="dxa"/>
        </w:tblCellMar>
        <w:tblLook w:val="01E0" w:firstRow="1" w:lastRow="1" w:firstColumn="1" w:lastColumn="1" w:noHBand="0" w:noVBand="0"/>
      </w:tblPr>
      <w:tblGrid>
        <w:gridCol w:w="5840"/>
        <w:gridCol w:w="1973"/>
      </w:tblGrid>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FF21AF">
            <w:pPr>
              <w:keepNext/>
              <w:tabs>
                <w:tab w:val="right" w:pos="671"/>
                <w:tab w:val="left" w:leader="dot" w:pos="3607"/>
              </w:tabs>
              <w:autoSpaceDE w:val="0"/>
              <w:autoSpaceDN w:val="0"/>
              <w:adjustRightInd w:val="0"/>
              <w:spacing w:after="0" w:line="226" w:lineRule="auto"/>
              <w:rPr>
                <w:sz w:val="20"/>
              </w:rPr>
            </w:pPr>
            <w:r w:rsidRPr="00D24AEF">
              <w:rPr>
                <w:b/>
                <w:sz w:val="20"/>
              </w:rPr>
              <w:t>Annual Fees — Each Non-Employee Director</w:t>
            </w:r>
            <w:r w:rsidRPr="00D24AEF">
              <w:rPr>
                <w:sz w:val="20"/>
              </w:rPr>
              <w:t>:</w:t>
            </w:r>
          </w:p>
        </w:tc>
      </w:tr>
      <w:tr w:rsidR="00582FF2" w:rsidRPr="00F7773E" w:rsidTr="002122AE">
        <w:trPr>
          <w:jc w:val="center"/>
        </w:trPr>
        <w:tc>
          <w:tcPr>
            <w:tcW w:w="7813" w:type="dxa"/>
            <w:gridSpan w:val="2"/>
            <w:tcBorders>
              <w:top w:val="single" w:sz="4" w:space="0" w:color="auto"/>
            </w:tcBorders>
            <w:shd w:val="clear" w:color="auto" w:fill="auto"/>
          </w:tcPr>
          <w:p w:rsidR="00582FF2" w:rsidRPr="00D24AEF" w:rsidRDefault="00582FF2" w:rsidP="00FF21AF">
            <w:pPr>
              <w:keepNext/>
              <w:widowControl/>
              <w:numPr>
                <w:ilvl w:val="0"/>
                <w:numId w:val="21"/>
              </w:numPr>
              <w:tabs>
                <w:tab w:val="left" w:pos="552"/>
              </w:tabs>
              <w:autoSpaceDE w:val="0"/>
              <w:autoSpaceDN w:val="0"/>
              <w:adjustRightInd w:val="0"/>
              <w:spacing w:after="0" w:line="226" w:lineRule="auto"/>
              <w:ind w:left="562" w:hanging="274"/>
              <w:jc w:val="left"/>
              <w:rPr>
                <w:sz w:val="20"/>
              </w:rPr>
            </w:pPr>
            <w:r w:rsidRPr="00D24AEF">
              <w:rPr>
                <w:sz w:val="20"/>
              </w:rPr>
              <w:t xml:space="preserve">$30,000 </w:t>
            </w:r>
            <w:r w:rsidR="00967555">
              <w:rPr>
                <w:sz w:val="20"/>
              </w:rPr>
              <w:t xml:space="preserve">Retainer </w:t>
            </w:r>
            <w:r w:rsidRPr="00D24AEF">
              <w:rPr>
                <w:sz w:val="20"/>
              </w:rPr>
              <w:t>(pa</w:t>
            </w:r>
            <w:r>
              <w:rPr>
                <w:sz w:val="20"/>
              </w:rPr>
              <w:t>id</w:t>
            </w:r>
            <w:r w:rsidRPr="00D24AEF">
              <w:rPr>
                <w:sz w:val="20"/>
              </w:rPr>
              <w:t xml:space="preserve"> in monthly installments)</w:t>
            </w:r>
          </w:p>
        </w:tc>
      </w:tr>
      <w:tr w:rsidR="00582FF2" w:rsidRPr="00F7773E" w:rsidTr="002122AE">
        <w:trPr>
          <w:jc w:val="center"/>
        </w:trPr>
        <w:tc>
          <w:tcPr>
            <w:tcW w:w="7813" w:type="dxa"/>
            <w:gridSpan w:val="2"/>
            <w:shd w:val="clear" w:color="auto" w:fill="auto"/>
            <w:vAlign w:val="center"/>
          </w:tcPr>
          <w:p w:rsidR="00582FF2" w:rsidRPr="00D24AEF" w:rsidRDefault="00EF642D" w:rsidP="00EF642D">
            <w:pPr>
              <w:keepNext/>
              <w:widowControl/>
              <w:numPr>
                <w:ilvl w:val="0"/>
                <w:numId w:val="21"/>
              </w:numPr>
              <w:tabs>
                <w:tab w:val="left" w:pos="552"/>
              </w:tabs>
              <w:autoSpaceDE w:val="0"/>
              <w:autoSpaceDN w:val="0"/>
              <w:adjustRightInd w:val="0"/>
              <w:spacing w:after="0" w:line="226" w:lineRule="auto"/>
              <w:ind w:left="562" w:hanging="274"/>
              <w:jc w:val="left"/>
              <w:rPr>
                <w:sz w:val="20"/>
              </w:rPr>
            </w:pPr>
            <w:r>
              <w:rPr>
                <w:sz w:val="20"/>
              </w:rPr>
              <w:t xml:space="preserve">Immediately following </w:t>
            </w:r>
            <w:r w:rsidR="00582FF2" w:rsidRPr="00D24AEF">
              <w:rPr>
                <w:sz w:val="20"/>
              </w:rPr>
              <w:t>the Annual Meeting of Stockholders</w:t>
            </w:r>
            <w:r>
              <w:rPr>
                <w:sz w:val="20"/>
              </w:rPr>
              <w:t>, an award</w:t>
            </w:r>
            <w:r w:rsidR="00582FF2" w:rsidRPr="00D24AEF">
              <w:rPr>
                <w:sz w:val="20"/>
              </w:rPr>
              <w:t xml:space="preserve"> of shares of restricted common stock that has an accounting income charge under ASC </w:t>
            </w:r>
            <w:r w:rsidR="00026130">
              <w:rPr>
                <w:sz w:val="20"/>
              </w:rPr>
              <w:t xml:space="preserve">Topic </w:t>
            </w:r>
            <w:r w:rsidR="00582FF2" w:rsidRPr="00D24AEF">
              <w:rPr>
                <w:sz w:val="20"/>
              </w:rPr>
              <w:t>718 of $50,000.</w:t>
            </w:r>
            <w:r w:rsidR="00582FF2" w:rsidRPr="00D24AEF">
              <w:rPr>
                <w:sz w:val="20"/>
                <w:vertAlign w:val="superscript"/>
              </w:rPr>
              <w:t>(1)</w:t>
            </w:r>
            <w:r w:rsidR="00582FF2" w:rsidRPr="00D24AEF">
              <w:rPr>
                <w:sz w:val="20"/>
              </w:rPr>
              <w:t xml:space="preserve"> </w:t>
            </w:r>
          </w:p>
        </w:tc>
      </w:tr>
      <w:tr w:rsidR="00582FF2" w:rsidRPr="00F7773E" w:rsidTr="002122AE">
        <w:trPr>
          <w:jc w:val="center"/>
        </w:trPr>
        <w:tc>
          <w:tcPr>
            <w:tcW w:w="7813" w:type="dxa"/>
            <w:gridSpan w:val="2"/>
            <w:tcBorders>
              <w:bottom w:val="single" w:sz="4" w:space="0" w:color="auto"/>
            </w:tcBorders>
            <w:tcMar>
              <w:bottom w:w="0" w:type="dxa"/>
            </w:tcMar>
          </w:tcPr>
          <w:p w:rsidR="00582FF2" w:rsidRPr="00D24AEF" w:rsidRDefault="00582FF2" w:rsidP="00370161">
            <w:pPr>
              <w:keepNext/>
              <w:tabs>
                <w:tab w:val="right" w:pos="805"/>
                <w:tab w:val="left" w:leader="dot" w:pos="3607"/>
              </w:tabs>
              <w:autoSpaceDE w:val="0"/>
              <w:autoSpaceDN w:val="0"/>
              <w:adjustRightInd w:val="0"/>
              <w:spacing w:after="0" w:line="226" w:lineRule="auto"/>
              <w:rPr>
                <w:sz w:val="20"/>
              </w:rPr>
            </w:pPr>
            <w:r w:rsidRPr="00D24AEF">
              <w:rPr>
                <w:b/>
                <w:sz w:val="20"/>
              </w:rPr>
              <w:t>Annual Fees</w:t>
            </w:r>
            <w:r w:rsidRPr="00D24AEF">
              <w:rPr>
                <w:sz w:val="20"/>
              </w:rPr>
              <w:t>:</w:t>
            </w:r>
            <w:r>
              <w:rPr>
                <w:sz w:val="20"/>
              </w:rPr>
              <w:t xml:space="preserve"> — </w:t>
            </w:r>
            <w:r w:rsidRPr="00351764">
              <w:rPr>
                <w:b/>
                <w:sz w:val="20"/>
              </w:rPr>
              <w:t>Board and Committee Chairs</w:t>
            </w:r>
            <w:r>
              <w:rPr>
                <w:sz w:val="20"/>
              </w:rPr>
              <w:t xml:space="preserve"> </w:t>
            </w:r>
            <w:r w:rsidRPr="00D24AEF">
              <w:rPr>
                <w:sz w:val="20"/>
              </w:rPr>
              <w:t>(pa</w:t>
            </w:r>
            <w:r>
              <w:rPr>
                <w:sz w:val="20"/>
              </w:rPr>
              <w:t>id</w:t>
            </w:r>
            <w:r w:rsidRPr="00D24AEF">
              <w:rPr>
                <w:sz w:val="20"/>
              </w:rPr>
              <w:t xml:space="preserve"> in monthly installments)</w:t>
            </w:r>
          </w:p>
        </w:tc>
      </w:tr>
      <w:tr w:rsidR="00582FF2" w:rsidRPr="00F7773E" w:rsidTr="002122AE">
        <w:trPr>
          <w:jc w:val="center"/>
        </w:trPr>
        <w:tc>
          <w:tcPr>
            <w:tcW w:w="5840" w:type="dxa"/>
            <w:tcBorders>
              <w:top w:val="single" w:sz="4" w:space="0" w:color="auto"/>
            </w:tcBorders>
            <w:tcMar>
              <w:top w:w="58" w:type="dxa"/>
              <w:left w:w="115" w:type="dxa"/>
              <w:bottom w:w="58" w:type="dxa"/>
              <w:right w:w="115" w:type="dxa"/>
            </w:tcMar>
            <w:vAlign w:val="center"/>
          </w:tcPr>
          <w:p w:rsidR="00582FF2" w:rsidRPr="00D24AEF" w:rsidRDefault="00582FF2" w:rsidP="00370161">
            <w:pPr>
              <w:keepNext/>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Chairman of the Board of Directors</w:t>
            </w:r>
            <w:r>
              <w:rPr>
                <w:sz w:val="20"/>
              </w:rPr>
              <w:t xml:space="preserve"> </w:t>
            </w:r>
            <w:r>
              <w:rPr>
                <w:sz w:val="20"/>
                <w:vertAlign w:val="superscript"/>
              </w:rPr>
              <w:t>(2</w:t>
            </w:r>
            <w:r w:rsidRPr="00D24AEF">
              <w:rPr>
                <w:sz w:val="20"/>
                <w:vertAlign w:val="superscript"/>
              </w:rPr>
              <w:t>)</w:t>
            </w:r>
          </w:p>
        </w:tc>
        <w:tc>
          <w:tcPr>
            <w:tcW w:w="1973" w:type="dxa"/>
            <w:tcBorders>
              <w:top w:val="single" w:sz="4" w:space="0" w:color="auto"/>
            </w:tcBorders>
            <w:tcMar>
              <w:top w:w="58" w:type="dxa"/>
              <w:left w:w="115" w:type="dxa"/>
              <w:bottom w:w="58" w:type="dxa"/>
              <w:right w:w="115" w:type="dxa"/>
            </w:tcMa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Pr>
                <w:sz w:val="20"/>
              </w:rPr>
              <w:t>Chair</w:t>
            </w:r>
            <w:r w:rsidRPr="00D24AEF">
              <w:rPr>
                <w:sz w:val="20"/>
              </w:rPr>
              <w:t xml:space="preserve"> of the Audit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$25,000</w:t>
            </w:r>
          </w:p>
        </w:tc>
      </w:tr>
      <w:tr w:rsidR="00582FF2" w:rsidRPr="00F7773E" w:rsidTr="000B1DD5">
        <w:trPr>
          <w:jc w:val="center"/>
        </w:trPr>
        <w:tc>
          <w:tcPr>
            <w:tcW w:w="5840" w:type="dxa"/>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Compensation Committee</w:t>
            </w:r>
          </w:p>
        </w:tc>
        <w:tc>
          <w:tcPr>
            <w:tcW w:w="1973" w:type="dxa"/>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$15,000</w:t>
            </w:r>
          </w:p>
        </w:tc>
      </w:tr>
      <w:tr w:rsidR="00582FF2" w:rsidRPr="00F7773E" w:rsidTr="000B1DD5">
        <w:trPr>
          <w:jc w:val="center"/>
        </w:trPr>
        <w:tc>
          <w:tcPr>
            <w:tcW w:w="5840" w:type="dxa"/>
            <w:tcBorders>
              <w:bottom w:val="single" w:sz="4" w:space="0" w:color="auto"/>
            </w:tcBorders>
            <w:tcMar>
              <w:top w:w="58" w:type="dxa"/>
              <w:left w:w="115" w:type="dxa"/>
              <w:bottom w:w="58" w:type="dxa"/>
              <w:right w:w="115" w:type="dxa"/>
            </w:tcMar>
            <w:vAlign w:val="center"/>
          </w:tcPr>
          <w:p w:rsidR="00582FF2" w:rsidRPr="00D24AEF" w:rsidRDefault="00582FF2" w:rsidP="00EE63DC">
            <w:pPr>
              <w:widowControl/>
              <w:numPr>
                <w:ilvl w:val="0"/>
                <w:numId w:val="21"/>
              </w:numPr>
              <w:tabs>
                <w:tab w:val="left" w:pos="552"/>
              </w:tabs>
              <w:autoSpaceDE w:val="0"/>
              <w:autoSpaceDN w:val="0"/>
              <w:adjustRightInd w:val="0"/>
              <w:spacing w:after="0" w:line="226" w:lineRule="auto"/>
              <w:ind w:left="552" w:hanging="270"/>
              <w:jc w:val="left"/>
              <w:rPr>
                <w:sz w:val="20"/>
              </w:rPr>
            </w:pPr>
            <w:r w:rsidRPr="00D24AEF">
              <w:rPr>
                <w:sz w:val="20"/>
              </w:rPr>
              <w:t>Chair of the Corporate Governance &amp; Nominating Committee</w:t>
            </w:r>
          </w:p>
        </w:tc>
        <w:tc>
          <w:tcPr>
            <w:tcW w:w="1973" w:type="dxa"/>
            <w:tcBorders>
              <w:bottom w:val="single" w:sz="4" w:space="0" w:color="auto"/>
            </w:tcBorders>
            <w:tcMar>
              <w:top w:w="58" w:type="dxa"/>
              <w:left w:w="115" w:type="dxa"/>
              <w:bottom w:w="58" w:type="dxa"/>
              <w:right w:w="115" w:type="dxa"/>
            </w:tcMar>
            <w:vAlign w:val="center"/>
          </w:tcPr>
          <w:p w:rsidR="00582FF2" w:rsidRPr="00D24AEF" w:rsidRDefault="00582FF2" w:rsidP="00EE63DC">
            <w:pPr>
              <w:tabs>
                <w:tab w:val="right" w:pos="1130"/>
                <w:tab w:val="left" w:leader="dot" w:pos="3607"/>
              </w:tabs>
              <w:autoSpaceDE w:val="0"/>
              <w:autoSpaceDN w:val="0"/>
              <w:adjustRightInd w:val="0"/>
              <w:spacing w:after="0" w:line="225" w:lineRule="auto"/>
              <w:rPr>
                <w:sz w:val="20"/>
              </w:rPr>
            </w:pPr>
            <w:r w:rsidRPr="00D24AEF">
              <w:rPr>
                <w:sz w:val="20"/>
              </w:rPr>
              <w:tab/>
              <w:t>$10,000</w:t>
            </w:r>
          </w:p>
        </w:tc>
      </w:tr>
      <w:tr w:rsidR="000B1DD5" w:rsidRPr="00F7773E" w:rsidTr="000B1DD5">
        <w:trPr>
          <w:jc w:val="center"/>
        </w:trPr>
        <w:tc>
          <w:tcPr>
            <w:tcW w:w="7813" w:type="dxa"/>
            <w:gridSpan w:val="2"/>
            <w:tcBorders>
              <w:top w:val="single" w:sz="4" w:space="0" w:color="auto"/>
            </w:tcBorders>
            <w:tcMar>
              <w:bottom w:w="0" w:type="dxa"/>
            </w:tcMar>
          </w:tcPr>
          <w:p w:rsidR="000B1DD5" w:rsidRPr="00846EDB" w:rsidRDefault="000B1DD5" w:rsidP="000B1DD5">
            <w:pPr>
              <w:tabs>
                <w:tab w:val="right" w:pos="805"/>
                <w:tab w:val="left" w:leader="dot" w:pos="3607"/>
              </w:tabs>
              <w:autoSpaceDE w:val="0"/>
              <w:autoSpaceDN w:val="0"/>
              <w:adjustRightInd w:val="0"/>
              <w:spacing w:after="0" w:line="226" w:lineRule="auto"/>
              <w:rPr>
                <w:b/>
                <w:sz w:val="20"/>
              </w:rPr>
            </w:pPr>
          </w:p>
        </w:tc>
      </w:tr>
      <w:tr w:rsidR="000B1DD5" w:rsidRPr="00F7773E" w:rsidTr="005E21A4">
        <w:trPr>
          <w:jc w:val="center"/>
        </w:trPr>
        <w:tc>
          <w:tcPr>
            <w:tcW w:w="7813" w:type="dxa"/>
            <w:gridSpan w:val="2"/>
            <w:tcMar>
              <w:bottom w:w="0" w:type="dxa"/>
            </w:tcMar>
          </w:tcPr>
          <w:p w:rsidR="000B1DD5" w:rsidRPr="00846EDB" w:rsidRDefault="000B1DD5" w:rsidP="000B1DD5">
            <w:pPr>
              <w:tabs>
                <w:tab w:val="right" w:pos="805"/>
                <w:tab w:val="left" w:leader="dot" w:pos="3607"/>
              </w:tabs>
              <w:autoSpaceDE w:val="0"/>
              <w:autoSpaceDN w:val="0"/>
              <w:adjustRightInd w:val="0"/>
              <w:spacing w:after="0" w:line="226" w:lineRule="auto"/>
              <w:rPr>
                <w:b/>
                <w:sz w:val="20"/>
              </w:rPr>
            </w:pPr>
          </w:p>
        </w:tc>
      </w:tr>
      <w:tr w:rsidR="000B1DD5" w:rsidRPr="00F7773E" w:rsidTr="005E21A4">
        <w:trPr>
          <w:jc w:val="center"/>
        </w:trPr>
        <w:tc>
          <w:tcPr>
            <w:tcW w:w="7813" w:type="dxa"/>
            <w:gridSpan w:val="2"/>
            <w:tcMar>
              <w:bottom w:w="0" w:type="dxa"/>
            </w:tcMar>
          </w:tcPr>
          <w:p w:rsidR="000B1DD5" w:rsidRPr="00846EDB" w:rsidRDefault="000B1DD5" w:rsidP="000B1DD5">
            <w:pPr>
              <w:tabs>
                <w:tab w:val="right" w:pos="805"/>
                <w:tab w:val="left" w:leader="dot" w:pos="3607"/>
              </w:tabs>
              <w:autoSpaceDE w:val="0"/>
              <w:autoSpaceDN w:val="0"/>
              <w:adjustRightInd w:val="0"/>
              <w:spacing w:after="0" w:line="226" w:lineRule="auto"/>
              <w:rPr>
                <w:b/>
                <w:sz w:val="20"/>
              </w:rPr>
            </w:pPr>
          </w:p>
        </w:tc>
      </w:tr>
      <w:tr w:rsidR="00582FF2" w:rsidRPr="00F7773E" w:rsidTr="005E21A4">
        <w:trPr>
          <w:jc w:val="center"/>
        </w:trPr>
        <w:tc>
          <w:tcPr>
            <w:tcW w:w="7813" w:type="dxa"/>
            <w:gridSpan w:val="2"/>
            <w:tcMar>
              <w:bottom w:w="0" w:type="dxa"/>
            </w:tcMar>
          </w:tcPr>
          <w:p w:rsidR="00582FF2" w:rsidRPr="00832F91" w:rsidRDefault="00582FF2" w:rsidP="00EE63DC">
            <w:pPr>
              <w:keepNext/>
              <w:tabs>
                <w:tab w:val="right" w:pos="805"/>
                <w:tab w:val="left" w:leader="dot" w:pos="3607"/>
              </w:tabs>
              <w:autoSpaceDE w:val="0"/>
              <w:autoSpaceDN w:val="0"/>
              <w:adjustRightInd w:val="0"/>
              <w:spacing w:after="0" w:line="226" w:lineRule="auto"/>
              <w:rPr>
                <w:sz w:val="20"/>
              </w:rPr>
            </w:pPr>
            <w:r w:rsidRPr="00846EDB">
              <w:rPr>
                <w:b/>
                <w:sz w:val="20"/>
              </w:rPr>
              <w:lastRenderedPageBreak/>
              <w:t>Meeting Fees</w:t>
            </w:r>
            <w:r>
              <w:rPr>
                <w:b/>
                <w:i/>
                <w:sz w:val="20"/>
              </w:rPr>
              <w:t xml:space="preserve"> </w:t>
            </w:r>
            <w:r>
              <w:rPr>
                <w:sz w:val="20"/>
                <w:vertAlign w:val="superscript"/>
              </w:rPr>
              <w:t>(3</w:t>
            </w:r>
            <w:r w:rsidRPr="00D24AEF">
              <w:rPr>
                <w:sz w:val="20"/>
                <w:vertAlign w:val="superscript"/>
              </w:rPr>
              <w:t>)</w:t>
            </w:r>
          </w:p>
        </w:tc>
      </w:tr>
      <w:tr w:rsidR="00582FF2" w:rsidRPr="00F7773E" w:rsidTr="000B1DD5">
        <w:trPr>
          <w:jc w:val="center"/>
        </w:trPr>
        <w:tc>
          <w:tcPr>
            <w:tcW w:w="5840" w:type="dxa"/>
            <w:tcMar>
              <w:top w:w="58" w:type="dxa"/>
              <w:left w:w="115" w:type="dxa"/>
              <w:bottom w:w="58" w:type="dxa"/>
              <w:right w:w="115" w:type="dxa"/>
            </w:tcMar>
          </w:tcPr>
          <w:p w:rsidR="00582FF2" w:rsidRPr="005225B0" w:rsidRDefault="00582FF2" w:rsidP="00EF642D">
            <w:pPr>
              <w:keepNext/>
              <w:spacing w:after="0"/>
              <w:rPr>
                <w:i/>
                <w:sz w:val="20"/>
              </w:rPr>
            </w:pPr>
            <w:r w:rsidRPr="005225B0">
              <w:rPr>
                <w:b/>
                <w:i/>
                <w:sz w:val="20"/>
              </w:rPr>
              <w:t>In-Person Meetings</w:t>
            </w:r>
            <w:r w:rsidRPr="005225B0">
              <w:rPr>
                <w:i/>
                <w:sz w:val="20"/>
              </w:rPr>
              <w:t xml:space="preserve"> </w:t>
            </w:r>
          </w:p>
        </w:tc>
        <w:tc>
          <w:tcPr>
            <w:tcW w:w="1973" w:type="dxa"/>
            <w:tcMar>
              <w:top w:w="58" w:type="dxa"/>
              <w:bottom w:w="58" w:type="dxa"/>
            </w:tcMar>
          </w:tcPr>
          <w:p w:rsidR="00582FF2" w:rsidRPr="005225B0" w:rsidRDefault="00582FF2" w:rsidP="00EE63DC">
            <w:pPr>
              <w:tabs>
                <w:tab w:val="right" w:pos="805"/>
                <w:tab w:val="left" w:leader="dot" w:pos="3607"/>
              </w:tabs>
              <w:autoSpaceDE w:val="0"/>
              <w:autoSpaceDN w:val="0"/>
              <w:adjustRightInd w:val="0"/>
              <w:spacing w:after="0"/>
              <w:jc w:val="center"/>
              <w:rPr>
                <w:b/>
                <w:i/>
                <w:sz w:val="20"/>
              </w:rPr>
            </w:pPr>
            <w:r w:rsidRPr="005225B0">
              <w:rPr>
                <w:b/>
                <w:i/>
                <w:sz w:val="20"/>
              </w:rPr>
              <w:t>Per Meeting</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ind w:left="562" w:hanging="274"/>
              <w:jc w:val="left"/>
              <w:rPr>
                <w:sz w:val="20"/>
              </w:rPr>
            </w:pPr>
            <w:r w:rsidRPr="00D24AEF">
              <w:rPr>
                <w:sz w:val="20"/>
              </w:rPr>
              <w:t>Board Meetings</w:t>
            </w:r>
          </w:p>
        </w:tc>
        <w:tc>
          <w:tcPr>
            <w:tcW w:w="1973" w:type="dxa"/>
            <w:tcMar>
              <w:top w:w="58" w:type="dxa"/>
              <w:left w:w="115" w:type="dxa"/>
              <w:bottom w:w="58" w:type="dxa"/>
              <w:right w:w="115" w:type="dxa"/>
            </w:tcMar>
            <w:vAlign w:val="center"/>
          </w:tcPr>
          <w:p w:rsidR="00582FF2" w:rsidRPr="00D24AEF" w:rsidRDefault="00582FF2" w:rsidP="00EE63DC">
            <w:pPr>
              <w:tabs>
                <w:tab w:val="right" w:pos="1076"/>
                <w:tab w:val="left" w:leader="dot" w:pos="3607"/>
              </w:tabs>
              <w:autoSpaceDE w:val="0"/>
              <w:autoSpaceDN w:val="0"/>
              <w:adjustRightInd w:val="0"/>
              <w:spacing w:after="0"/>
              <w:jc w:val="left"/>
              <w:rPr>
                <w:sz w:val="20"/>
              </w:rPr>
            </w:pPr>
            <w:r w:rsidRPr="00D24AEF">
              <w:rPr>
                <w:sz w:val="20"/>
              </w:rPr>
              <w:tab/>
              <w:t>$1,500</w:t>
            </w:r>
          </w:p>
        </w:tc>
      </w:tr>
      <w:tr w:rsidR="00582FF2" w:rsidRPr="00F7773E" w:rsidTr="002122AE">
        <w:trPr>
          <w:jc w:val="center"/>
        </w:trPr>
        <w:tc>
          <w:tcPr>
            <w:tcW w:w="5840" w:type="dxa"/>
            <w:tcMar>
              <w:top w:w="58" w:type="dxa"/>
              <w:left w:w="115" w:type="dxa"/>
              <w:bottom w:w="58" w:type="dxa"/>
              <w:right w:w="115" w:type="dxa"/>
            </w:tcMar>
            <w:vAlign w:val="center"/>
          </w:tcPr>
          <w:p w:rsidR="00582FF2" w:rsidRPr="00D24AEF" w:rsidRDefault="00582FF2" w:rsidP="00EF642D">
            <w:pPr>
              <w:keepNext/>
              <w:widowControl/>
              <w:numPr>
                <w:ilvl w:val="0"/>
                <w:numId w:val="21"/>
              </w:numPr>
              <w:tabs>
                <w:tab w:val="left" w:pos="552"/>
              </w:tabs>
              <w:autoSpaceDE w:val="0"/>
              <w:autoSpaceDN w:val="0"/>
              <w:adjustRightInd w:val="0"/>
              <w:spacing w:after="0" w:line="226" w:lineRule="auto"/>
              <w:ind w:left="562" w:hanging="274"/>
              <w:jc w:val="left"/>
              <w:rPr>
                <w:i/>
                <w:sz w:val="20"/>
              </w:rPr>
            </w:pPr>
            <w:r w:rsidRPr="00D24AEF">
              <w:rPr>
                <w:sz w:val="20"/>
              </w:rPr>
              <w:t>Committee</w:t>
            </w:r>
            <w:r w:rsidRPr="00D24AEF">
              <w:rPr>
                <w:i/>
                <w:sz w:val="20"/>
              </w:rPr>
              <w:t xml:space="preserve"> </w:t>
            </w:r>
            <w:r w:rsidRPr="00D24AEF">
              <w:rPr>
                <w:sz w:val="20"/>
              </w:rPr>
              <w:t>Meetings</w:t>
            </w:r>
          </w:p>
        </w:tc>
        <w:tc>
          <w:tcPr>
            <w:tcW w:w="1973" w:type="dxa"/>
            <w:tcMar>
              <w:top w:w="58"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tc>
      </w:tr>
      <w:tr w:rsidR="00582FF2" w:rsidRPr="00F7773E" w:rsidTr="002122AE">
        <w:trPr>
          <w:jc w:val="center"/>
        </w:trPr>
        <w:tc>
          <w:tcPr>
            <w:tcW w:w="5840" w:type="dxa"/>
            <w:tcMar>
              <w:top w:w="14" w:type="dxa"/>
              <w:left w:w="115" w:type="dxa"/>
              <w:bottom w:w="58" w:type="dxa"/>
              <w:right w:w="115" w:type="dxa"/>
            </w:tcMar>
          </w:tcPr>
          <w:p w:rsidR="00582FF2" w:rsidRPr="00D24AEF" w:rsidRDefault="00582FF2" w:rsidP="00EE63DC">
            <w:pPr>
              <w:tabs>
                <w:tab w:val="left" w:pos="455"/>
              </w:tabs>
              <w:spacing w:after="0"/>
              <w:ind w:left="461"/>
              <w:rPr>
                <w:i/>
                <w:sz w:val="20"/>
              </w:rPr>
            </w:pPr>
            <w:r w:rsidRPr="00D24AEF">
              <w:rPr>
                <w:sz w:val="20"/>
              </w:rPr>
              <w:tab/>
            </w:r>
            <w:r w:rsidRPr="00D24AEF">
              <w:rPr>
                <w:i/>
                <w:sz w:val="20"/>
              </w:rPr>
              <w:t xml:space="preserve">Audit Committee Meetings </w:t>
            </w:r>
          </w:p>
          <w:p w:rsidR="00582FF2" w:rsidRPr="00D24AEF" w:rsidRDefault="00582FF2" w:rsidP="00EE63DC">
            <w:pPr>
              <w:tabs>
                <w:tab w:val="left" w:pos="455"/>
                <w:tab w:val="left" w:pos="1030"/>
              </w:tabs>
              <w:spacing w:after="0"/>
              <w:ind w:left="461"/>
              <w:rPr>
                <w:sz w:val="20"/>
              </w:rPr>
            </w:pPr>
            <w:r w:rsidRPr="00D24AEF">
              <w:rPr>
                <w:sz w:val="20"/>
              </w:rPr>
              <w:tab/>
              <w:t>In connection with a Board meeting</w:t>
            </w:r>
          </w:p>
          <w:p w:rsidR="00582FF2" w:rsidRPr="00D24AEF" w:rsidRDefault="00582FF2" w:rsidP="00FF21AF">
            <w:pPr>
              <w:tabs>
                <w:tab w:val="left" w:pos="455"/>
                <w:tab w:val="left" w:pos="1030"/>
              </w:tabs>
              <w:spacing w:after="0"/>
              <w:ind w:left="455"/>
              <w:rPr>
                <w:sz w:val="20"/>
              </w:rPr>
            </w:pPr>
            <w:r w:rsidRPr="00D24AEF">
              <w:rPr>
                <w:sz w:val="20"/>
              </w:rPr>
              <w:tab/>
              <w:t>Not in connection with a Board meeting</w:t>
            </w:r>
          </w:p>
        </w:tc>
        <w:tc>
          <w:tcPr>
            <w:tcW w:w="1973" w:type="dxa"/>
            <w:tcMar>
              <w:top w:w="14" w:type="dxa"/>
              <w:left w:w="115" w:type="dxa"/>
              <w:right w:w="115" w:type="dxa"/>
            </w:tcMar>
          </w:tcPr>
          <w:p w:rsidR="00582FF2" w:rsidRPr="00D24AEF" w:rsidRDefault="00582FF2" w:rsidP="00EE63DC">
            <w:pPr>
              <w:tabs>
                <w:tab w:val="right" w:pos="671"/>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$1,000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$1,500</w:t>
            </w:r>
          </w:p>
        </w:tc>
      </w:tr>
      <w:tr w:rsidR="00582FF2" w:rsidRPr="00F7773E" w:rsidTr="005E21A4">
        <w:trPr>
          <w:jc w:val="center"/>
        </w:trPr>
        <w:tc>
          <w:tcPr>
            <w:tcW w:w="5840" w:type="dxa"/>
            <w:tcMar>
              <w:top w:w="14" w:type="dxa"/>
              <w:left w:w="115" w:type="dxa"/>
              <w:bottom w:w="58" w:type="dxa"/>
              <w:right w:w="115" w:type="dxa"/>
            </w:tcMar>
          </w:tcPr>
          <w:p w:rsidR="00582FF2" w:rsidRPr="00D24AEF" w:rsidRDefault="00582FF2" w:rsidP="00967555">
            <w:pPr>
              <w:tabs>
                <w:tab w:val="left" w:pos="455"/>
              </w:tabs>
              <w:spacing w:after="0"/>
              <w:ind w:left="461"/>
              <w:rPr>
                <w:i/>
                <w:sz w:val="20"/>
              </w:rPr>
            </w:pPr>
            <w:r w:rsidRPr="00D24AEF">
              <w:rPr>
                <w:sz w:val="20"/>
              </w:rPr>
              <w:tab/>
            </w:r>
            <w:r w:rsidRPr="00D24AEF">
              <w:rPr>
                <w:i/>
                <w:sz w:val="20"/>
              </w:rPr>
              <w:t>Other Committee Meetings</w:t>
            </w:r>
          </w:p>
          <w:p w:rsidR="00582FF2" w:rsidRPr="00D24AEF" w:rsidRDefault="00582FF2" w:rsidP="00967555">
            <w:pPr>
              <w:tabs>
                <w:tab w:val="left" w:pos="455"/>
                <w:tab w:val="left" w:pos="1030"/>
              </w:tabs>
              <w:spacing w:after="0"/>
              <w:ind w:left="455"/>
              <w:rPr>
                <w:sz w:val="20"/>
              </w:rPr>
            </w:pPr>
            <w:r w:rsidRPr="00D24AEF">
              <w:rPr>
                <w:sz w:val="20"/>
              </w:rPr>
              <w:tab/>
              <w:t>In connection with a Board meeting</w:t>
            </w:r>
          </w:p>
          <w:p w:rsidR="00582FF2" w:rsidRPr="00D24AEF" w:rsidRDefault="00582FF2" w:rsidP="00967555">
            <w:pPr>
              <w:tabs>
                <w:tab w:val="left" w:pos="455"/>
                <w:tab w:val="left" w:pos="1030"/>
              </w:tabs>
              <w:spacing w:after="0"/>
              <w:ind w:left="455"/>
              <w:rPr>
                <w:sz w:val="20"/>
              </w:rPr>
            </w:pPr>
            <w:r w:rsidRPr="00D24AEF">
              <w:rPr>
                <w:sz w:val="20"/>
              </w:rPr>
              <w:tab/>
              <w:t>Not in connection with a Board meeting</w:t>
            </w:r>
          </w:p>
        </w:tc>
        <w:tc>
          <w:tcPr>
            <w:tcW w:w="1973" w:type="dxa"/>
            <w:tcMar>
              <w:top w:w="14" w:type="dxa"/>
              <w:left w:w="115" w:type="dxa"/>
              <w:right w:w="115" w:type="dxa"/>
            </w:tcMar>
          </w:tcPr>
          <w:p w:rsidR="00582FF2" w:rsidRPr="00D24AEF" w:rsidRDefault="00582FF2" w:rsidP="00EE63DC">
            <w:pPr>
              <w:tabs>
                <w:tab w:val="right" w:pos="901"/>
                <w:tab w:val="right" w:pos="1076"/>
                <w:tab w:val="left" w:leader="dot" w:pos="3607"/>
              </w:tabs>
              <w:autoSpaceDE w:val="0"/>
              <w:autoSpaceDN w:val="0"/>
              <w:adjustRightInd w:val="0"/>
              <w:spacing w:after="0"/>
              <w:rPr>
                <w:sz w:val="20"/>
              </w:rPr>
            </w:pP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$500</w:t>
            </w:r>
          </w:p>
          <w:p w:rsidR="00582FF2" w:rsidRPr="00D24AEF" w:rsidRDefault="00582FF2" w:rsidP="00EE63DC">
            <w:pPr>
              <w:tabs>
                <w:tab w:val="right" w:pos="1076"/>
                <w:tab w:val="left" w:leader="dot" w:pos="3607"/>
              </w:tabs>
              <w:autoSpaceDE w:val="0"/>
              <w:autoSpaceDN w:val="0"/>
              <w:adjustRightInd w:val="0"/>
              <w:spacing w:after="0"/>
              <w:rPr>
                <w:sz w:val="20"/>
              </w:rPr>
            </w:pPr>
            <w:r w:rsidRPr="00D24AEF">
              <w:rPr>
                <w:sz w:val="20"/>
              </w:rPr>
              <w:tab/>
              <w:t>$750</w:t>
            </w:r>
          </w:p>
        </w:tc>
      </w:tr>
      <w:tr w:rsidR="00582FF2" w:rsidRPr="00F7773E" w:rsidTr="005E21A4">
        <w:trPr>
          <w:jc w:val="center"/>
        </w:trPr>
        <w:tc>
          <w:tcPr>
            <w:tcW w:w="5840" w:type="dxa"/>
            <w:tcBorders>
              <w:bottom w:val="single" w:sz="4" w:space="0" w:color="auto"/>
            </w:tcBorders>
            <w:tcMar>
              <w:top w:w="58" w:type="dxa"/>
              <w:left w:w="115" w:type="dxa"/>
              <w:bottom w:w="58" w:type="dxa"/>
              <w:right w:w="115" w:type="dxa"/>
            </w:tcMar>
          </w:tcPr>
          <w:p w:rsidR="00582FF2" w:rsidRDefault="00582FF2" w:rsidP="00967555">
            <w:pPr>
              <w:spacing w:after="0"/>
              <w:rPr>
                <w:i/>
                <w:sz w:val="20"/>
              </w:rPr>
            </w:pPr>
            <w:r w:rsidRPr="005225B0">
              <w:rPr>
                <w:b/>
                <w:i/>
                <w:sz w:val="20"/>
              </w:rPr>
              <w:t>Telephonic Meetings</w:t>
            </w:r>
            <w:r w:rsidRPr="00D24AEF">
              <w:rPr>
                <w:i/>
                <w:sz w:val="20"/>
              </w:rPr>
              <w:t xml:space="preserve"> (Board &amp; Committee Meetings)</w:t>
            </w:r>
          </w:p>
          <w:p w:rsidR="00582FF2" w:rsidRPr="005225B0"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5225B0">
              <w:rPr>
                <w:sz w:val="20"/>
              </w:rPr>
              <w:t>One hour or longer</w:t>
            </w:r>
          </w:p>
          <w:p w:rsidR="00582FF2" w:rsidRPr="00D24AEF" w:rsidRDefault="00582FF2" w:rsidP="00967555">
            <w:pPr>
              <w:widowControl/>
              <w:numPr>
                <w:ilvl w:val="0"/>
                <w:numId w:val="21"/>
              </w:numPr>
              <w:tabs>
                <w:tab w:val="left" w:pos="552"/>
              </w:tabs>
              <w:autoSpaceDE w:val="0"/>
              <w:autoSpaceDN w:val="0"/>
              <w:adjustRightInd w:val="0"/>
              <w:spacing w:after="0"/>
              <w:ind w:left="562" w:hanging="274"/>
              <w:jc w:val="left"/>
              <w:rPr>
                <w:i/>
                <w:sz w:val="20"/>
              </w:rPr>
            </w:pPr>
            <w:r w:rsidRPr="00D24AEF">
              <w:rPr>
                <w:sz w:val="20"/>
              </w:rPr>
              <w:t>Less than one hour</w:t>
            </w:r>
          </w:p>
        </w:tc>
        <w:tc>
          <w:tcPr>
            <w:tcW w:w="1973" w:type="dxa"/>
            <w:tcBorders>
              <w:bottom w:val="single" w:sz="4" w:space="0" w:color="auto"/>
            </w:tcBorders>
            <w:tcMar>
              <w:top w:w="58" w:type="dxa"/>
              <w:bottom w:w="58" w:type="dxa"/>
            </w:tcMar>
            <w:vAlign w:val="bottom"/>
          </w:tcPr>
          <w:p w:rsidR="00582FF2" w:rsidRDefault="00582FF2" w:rsidP="00EE63DC">
            <w:pPr>
              <w:keepNext/>
              <w:tabs>
                <w:tab w:val="right" w:pos="671"/>
                <w:tab w:val="left" w:leader="dot" w:pos="3607"/>
              </w:tabs>
              <w:autoSpaceDE w:val="0"/>
              <w:autoSpaceDN w:val="0"/>
              <w:adjustRightInd w:val="0"/>
              <w:spacing w:after="0"/>
              <w:jc w:val="center"/>
              <w:rPr>
                <w:sz w:val="20"/>
              </w:rPr>
            </w:pPr>
          </w:p>
          <w:p w:rsidR="00582FF2" w:rsidRDefault="00582FF2" w:rsidP="00EE63DC">
            <w:pPr>
              <w:keepNext/>
              <w:tabs>
                <w:tab w:val="right" w:pos="671"/>
                <w:tab w:val="left" w:leader="dot" w:pos="3607"/>
              </w:tabs>
              <w:autoSpaceDE w:val="0"/>
              <w:autoSpaceDN w:val="0"/>
              <w:adjustRightInd w:val="0"/>
              <w:spacing w:after="0"/>
              <w:jc w:val="center"/>
              <w:rPr>
                <w:sz w:val="20"/>
              </w:rPr>
            </w:pPr>
            <w:r>
              <w:rPr>
                <w:sz w:val="20"/>
              </w:rPr>
              <w:t>$750</w:t>
            </w:r>
          </w:p>
          <w:p w:rsidR="00582FF2" w:rsidRPr="00D24AEF" w:rsidRDefault="00582FF2" w:rsidP="00EE63DC">
            <w:pPr>
              <w:keepNext/>
              <w:tabs>
                <w:tab w:val="right" w:pos="671"/>
                <w:tab w:val="left" w:leader="dot" w:pos="3607"/>
              </w:tabs>
              <w:autoSpaceDE w:val="0"/>
              <w:autoSpaceDN w:val="0"/>
              <w:adjustRightInd w:val="0"/>
              <w:spacing w:after="0"/>
              <w:jc w:val="center"/>
              <w:rPr>
                <w:sz w:val="20"/>
              </w:rPr>
            </w:pPr>
            <w:r>
              <w:rPr>
                <w:sz w:val="20"/>
              </w:rPr>
              <w:t>$500</w:t>
            </w:r>
          </w:p>
        </w:tc>
      </w:tr>
    </w:tbl>
    <w:p w:rsidR="00582FF2" w:rsidRPr="00B93F1C" w:rsidRDefault="00582FF2" w:rsidP="00967555">
      <w:pPr>
        <w:keepNext/>
        <w:widowControl/>
        <w:tabs>
          <w:tab w:val="left" w:pos="990"/>
        </w:tabs>
        <w:spacing w:before="100" w:after="60"/>
        <w:ind w:left="994" w:hanging="360"/>
        <w:jc w:val="left"/>
        <w:rPr>
          <w:sz w:val="20"/>
        </w:rPr>
      </w:pPr>
      <w:r w:rsidRPr="003628D8">
        <w:rPr>
          <w:sz w:val="20"/>
        </w:rPr>
        <w:t>(1)</w:t>
      </w:r>
      <w:r w:rsidRPr="003628D8">
        <w:rPr>
          <w:sz w:val="20"/>
        </w:rPr>
        <w:tab/>
      </w:r>
      <w:r w:rsidRPr="00B93F1C">
        <w:rPr>
          <w:sz w:val="20"/>
        </w:rPr>
        <w:t xml:space="preserve">The </w:t>
      </w:r>
      <w:r w:rsidR="002C7867">
        <w:rPr>
          <w:sz w:val="20"/>
        </w:rPr>
        <w:t xml:space="preserve">restricted stock </w:t>
      </w:r>
      <w:r w:rsidRPr="00B93F1C">
        <w:rPr>
          <w:sz w:val="20"/>
        </w:rPr>
        <w:t>award</w:t>
      </w:r>
      <w:r w:rsidR="00C35D4B">
        <w:rPr>
          <w:sz w:val="20"/>
        </w:rPr>
        <w:t xml:space="preserve"> is</w:t>
      </w:r>
      <w:r w:rsidRPr="00B93F1C">
        <w:rPr>
          <w:sz w:val="20"/>
        </w:rPr>
        <w:t xml:space="preserve"> subject to the following basic terms:  </w:t>
      </w:r>
    </w:p>
    <w:p w:rsidR="00582FF2" w:rsidRPr="00B93F1C" w:rsidRDefault="00582FF2" w:rsidP="00967555">
      <w:pPr>
        <w:keepNext/>
        <w:widowControl/>
        <w:tabs>
          <w:tab w:val="left" w:pos="360"/>
        </w:tabs>
        <w:spacing w:after="60"/>
        <w:ind w:left="994"/>
        <w:jc w:val="left"/>
        <w:rPr>
          <w:sz w:val="20"/>
        </w:rPr>
      </w:pPr>
      <w:r w:rsidRPr="00B93F1C">
        <w:rPr>
          <w:i/>
          <w:sz w:val="20"/>
        </w:rPr>
        <w:t>Restrictions:</w:t>
      </w:r>
      <w:r w:rsidRPr="00B93F1C">
        <w:rPr>
          <w:sz w:val="20"/>
        </w:rPr>
        <w:t xml:space="preserve">  The shares may not be sold, assigned, transferred, pledged or otherwise disposed of until they vest.  </w:t>
      </w:r>
      <w:r w:rsidR="00526098" w:rsidRPr="00526098">
        <w:rPr>
          <w:sz w:val="20"/>
        </w:rPr>
        <w:t xml:space="preserve">The retention of the shares is subject the Board's Governance Guidelines.  </w:t>
      </w:r>
    </w:p>
    <w:p w:rsidR="00582FF2" w:rsidRPr="00B93F1C" w:rsidRDefault="00582FF2" w:rsidP="00582FF2">
      <w:pPr>
        <w:tabs>
          <w:tab w:val="left" w:pos="360"/>
        </w:tabs>
        <w:spacing w:after="60"/>
        <w:ind w:left="994"/>
        <w:jc w:val="left"/>
        <w:rPr>
          <w:sz w:val="20"/>
        </w:rPr>
      </w:pPr>
      <w:r w:rsidRPr="00B93F1C">
        <w:rPr>
          <w:i/>
          <w:sz w:val="20"/>
        </w:rPr>
        <w:t>Vesting:</w:t>
      </w:r>
      <w:r w:rsidRPr="00B93F1C">
        <w:rPr>
          <w:sz w:val="20"/>
        </w:rPr>
        <w:t xml:space="preserve">  </w:t>
      </w:r>
      <w:r w:rsidR="00526098">
        <w:rPr>
          <w:sz w:val="20"/>
        </w:rPr>
        <w:t>T</w:t>
      </w:r>
      <w:r w:rsidR="00526098" w:rsidRPr="00B93F1C">
        <w:rPr>
          <w:sz w:val="20"/>
        </w:rPr>
        <w:t xml:space="preserve">he </w:t>
      </w:r>
      <w:r w:rsidR="00526098">
        <w:rPr>
          <w:sz w:val="20"/>
        </w:rPr>
        <w:t xml:space="preserve">restrictions on the </w:t>
      </w:r>
      <w:r w:rsidR="00526098" w:rsidRPr="00B93F1C">
        <w:rPr>
          <w:sz w:val="20"/>
        </w:rPr>
        <w:t xml:space="preserve">restricted stock </w:t>
      </w:r>
      <w:r w:rsidR="00526098">
        <w:rPr>
          <w:sz w:val="20"/>
        </w:rPr>
        <w:t xml:space="preserve">lapse </w:t>
      </w:r>
      <w:r w:rsidRPr="00B93F1C">
        <w:rPr>
          <w:sz w:val="20"/>
        </w:rPr>
        <w:t>on the trading day immediately preceding the following year's Annual Meeting of Stockholders, but earlier upon the death of the director; upon the director becoming permanently disabled; and upon a change in control of the Company as defined in the Company's Stock Incentive Plan</w:t>
      </w:r>
      <w:r w:rsidR="00B96C8B">
        <w:rPr>
          <w:sz w:val="20"/>
        </w:rPr>
        <w:t xml:space="preserve"> under which the shares are issued</w:t>
      </w:r>
      <w:r w:rsidRPr="00B93F1C">
        <w:rPr>
          <w:sz w:val="20"/>
        </w:rPr>
        <w:t xml:space="preserve">.  </w:t>
      </w:r>
    </w:p>
    <w:p w:rsidR="00582FF2" w:rsidRPr="00B93F1C" w:rsidRDefault="00582FF2" w:rsidP="00582FF2">
      <w:pPr>
        <w:widowControl/>
        <w:tabs>
          <w:tab w:val="left" w:pos="360"/>
        </w:tabs>
        <w:spacing w:after="60"/>
        <w:ind w:left="994"/>
        <w:jc w:val="left"/>
        <w:rPr>
          <w:sz w:val="20"/>
        </w:rPr>
      </w:pPr>
      <w:r w:rsidRPr="00B93F1C">
        <w:rPr>
          <w:i/>
          <w:sz w:val="20"/>
        </w:rPr>
        <w:t>Forfeiture:</w:t>
      </w:r>
      <w:r w:rsidRPr="00B93F1C">
        <w:rPr>
          <w:sz w:val="20"/>
        </w:rPr>
        <w:t xml:space="preserve">  The shares of restricted stock </w:t>
      </w:r>
      <w:r>
        <w:rPr>
          <w:sz w:val="20"/>
        </w:rPr>
        <w:t>are</w:t>
      </w:r>
      <w:r w:rsidRPr="00B93F1C">
        <w:rPr>
          <w:sz w:val="20"/>
        </w:rPr>
        <w:t xml:space="preserve"> forfeited in the event that prior to vesting, the director ceases to be a director other than by reason of his </w:t>
      </w:r>
      <w:r>
        <w:rPr>
          <w:sz w:val="20"/>
        </w:rPr>
        <w:t xml:space="preserve">or her </w:t>
      </w:r>
      <w:r w:rsidRPr="00B93F1C">
        <w:rPr>
          <w:sz w:val="20"/>
        </w:rPr>
        <w:t>death, permanent disability or a change in control of the Company.</w:t>
      </w:r>
    </w:p>
    <w:p w:rsidR="00582FF2" w:rsidRDefault="00582FF2" w:rsidP="00582FF2">
      <w:pPr>
        <w:widowControl/>
        <w:tabs>
          <w:tab w:val="left" w:pos="990"/>
        </w:tabs>
        <w:spacing w:before="100" w:after="60"/>
        <w:ind w:left="994" w:hanging="360"/>
        <w:jc w:val="left"/>
        <w:rPr>
          <w:sz w:val="20"/>
        </w:rPr>
      </w:pPr>
      <w:r>
        <w:rPr>
          <w:sz w:val="20"/>
        </w:rPr>
        <w:t>(2)</w:t>
      </w:r>
      <w:r w:rsidRPr="00F7773E">
        <w:rPr>
          <w:sz w:val="20"/>
        </w:rPr>
        <w:tab/>
      </w:r>
      <w:r w:rsidR="00022995">
        <w:rPr>
          <w:sz w:val="20"/>
        </w:rPr>
        <w:t xml:space="preserve">The Chairman </w:t>
      </w:r>
      <w:r w:rsidR="007136A9">
        <w:rPr>
          <w:sz w:val="20"/>
        </w:rPr>
        <w:t xml:space="preserve">of the Board </w:t>
      </w:r>
      <w:r w:rsidR="00022995">
        <w:rPr>
          <w:sz w:val="20"/>
        </w:rPr>
        <w:t xml:space="preserve">receives the annual </w:t>
      </w:r>
      <w:r w:rsidR="008D6D92">
        <w:rPr>
          <w:sz w:val="20"/>
        </w:rPr>
        <w:t xml:space="preserve">cash </w:t>
      </w:r>
      <w:r w:rsidR="00022995">
        <w:rPr>
          <w:sz w:val="20"/>
        </w:rPr>
        <w:t>retainer and the stock award made to each non-employee director.  T</w:t>
      </w:r>
      <w:r w:rsidR="00F35386">
        <w:rPr>
          <w:sz w:val="20"/>
        </w:rPr>
        <w:t xml:space="preserve">he </w:t>
      </w:r>
      <w:r>
        <w:rPr>
          <w:sz w:val="20"/>
        </w:rPr>
        <w:t xml:space="preserve">Chairman's fee </w:t>
      </w:r>
      <w:r w:rsidR="00C37E89">
        <w:rPr>
          <w:sz w:val="20"/>
        </w:rPr>
        <w:t xml:space="preserve">covers </w:t>
      </w:r>
      <w:r w:rsidR="00022995">
        <w:rPr>
          <w:sz w:val="20"/>
        </w:rPr>
        <w:t xml:space="preserve">not only </w:t>
      </w:r>
      <w:r w:rsidRPr="00121666">
        <w:rPr>
          <w:sz w:val="20"/>
        </w:rPr>
        <w:t xml:space="preserve">compensation for </w:t>
      </w:r>
      <w:r>
        <w:rPr>
          <w:sz w:val="20"/>
        </w:rPr>
        <w:t>service as Chairman</w:t>
      </w:r>
      <w:r w:rsidR="004C224A">
        <w:rPr>
          <w:sz w:val="20"/>
        </w:rPr>
        <w:t>,</w:t>
      </w:r>
      <w:r>
        <w:rPr>
          <w:sz w:val="20"/>
        </w:rPr>
        <w:t xml:space="preserve"> </w:t>
      </w:r>
      <w:r w:rsidR="00022995">
        <w:rPr>
          <w:sz w:val="20"/>
        </w:rPr>
        <w:t xml:space="preserve">but also </w:t>
      </w:r>
      <w:r w:rsidR="00B96C8B">
        <w:rPr>
          <w:sz w:val="20"/>
        </w:rPr>
        <w:t xml:space="preserve">for </w:t>
      </w:r>
      <w:r w:rsidRPr="00121666">
        <w:rPr>
          <w:sz w:val="20"/>
        </w:rPr>
        <w:t>attendance at all Board and committee meetings and for service as chair of any committee of the Board</w:t>
      </w:r>
      <w:r w:rsidR="00C37E89">
        <w:rPr>
          <w:sz w:val="20"/>
        </w:rPr>
        <w:t xml:space="preserve"> other than the Audit Committee</w:t>
      </w:r>
      <w:r w:rsidRPr="00121666">
        <w:rPr>
          <w:sz w:val="20"/>
        </w:rPr>
        <w:t xml:space="preserve">.  </w:t>
      </w:r>
      <w:r w:rsidR="00526098">
        <w:rPr>
          <w:sz w:val="20"/>
        </w:rPr>
        <w:t xml:space="preserve">In the event the Chairman is also the Chair of the Audit Committee, the Audit Committee Chair fee will also be paid.  </w:t>
      </w:r>
      <w:r w:rsidR="00FF21AF">
        <w:rPr>
          <w:sz w:val="20"/>
        </w:rPr>
        <w:t xml:space="preserve">On </w:t>
      </w:r>
      <w:r w:rsidR="007D3778">
        <w:rPr>
          <w:sz w:val="20"/>
        </w:rPr>
        <w:t>March 9, 2015, Mr. Varello resigned as Chairman</w:t>
      </w:r>
      <w:r w:rsidR="001C1378">
        <w:rPr>
          <w:sz w:val="20"/>
        </w:rPr>
        <w:t xml:space="preserve">, executed a three-year employment agreement with the Company, </w:t>
      </w:r>
      <w:r w:rsidR="007D3778">
        <w:rPr>
          <w:sz w:val="20"/>
        </w:rPr>
        <w:t>and Milton L. Scott</w:t>
      </w:r>
      <w:r w:rsidR="001C1378">
        <w:rPr>
          <w:sz w:val="20"/>
        </w:rPr>
        <w:t xml:space="preserve">, Chair of the Audit Committee, </w:t>
      </w:r>
      <w:r w:rsidR="007D3778">
        <w:rPr>
          <w:sz w:val="20"/>
        </w:rPr>
        <w:t xml:space="preserve">was elected Chairman </w:t>
      </w:r>
      <w:r w:rsidR="001C1378">
        <w:rPr>
          <w:sz w:val="20"/>
        </w:rPr>
        <w:t xml:space="preserve">of the Board </w:t>
      </w:r>
      <w:r w:rsidR="007D3778">
        <w:rPr>
          <w:sz w:val="20"/>
        </w:rPr>
        <w:t>in his place.</w:t>
      </w:r>
      <w:r w:rsidR="001C1378">
        <w:rPr>
          <w:sz w:val="20"/>
        </w:rPr>
        <w:t xml:space="preserve">  Mr. Scott remains Chair of the Audit Committee.  </w:t>
      </w:r>
    </w:p>
    <w:p w:rsidR="00582FF2" w:rsidRDefault="00582FF2" w:rsidP="00582FF2">
      <w:pPr>
        <w:widowControl/>
        <w:tabs>
          <w:tab w:val="left" w:pos="990"/>
        </w:tabs>
        <w:spacing w:before="100" w:after="60"/>
        <w:ind w:left="994" w:hanging="360"/>
        <w:jc w:val="left"/>
        <w:rPr>
          <w:sz w:val="20"/>
        </w:rPr>
      </w:pPr>
      <w:r>
        <w:rPr>
          <w:sz w:val="20"/>
        </w:rPr>
        <w:t>(3)</w:t>
      </w:r>
      <w:r w:rsidRPr="00F7773E">
        <w:rPr>
          <w:sz w:val="20"/>
        </w:rPr>
        <w:tab/>
        <w:t>In-person</w:t>
      </w:r>
      <w:r>
        <w:t xml:space="preserve"> </w:t>
      </w:r>
      <w:r w:rsidRPr="00F7773E">
        <w:rPr>
          <w:sz w:val="20"/>
        </w:rPr>
        <w:t xml:space="preserve">Board and committee meetings that </w:t>
      </w:r>
      <w:r>
        <w:rPr>
          <w:sz w:val="20"/>
        </w:rPr>
        <w:t>continue</w:t>
      </w:r>
      <w:r w:rsidRPr="00F7773E">
        <w:rPr>
          <w:sz w:val="20"/>
        </w:rPr>
        <w:t xml:space="preserve"> from one day to the next are paid as a single meeting.  Time spent by non-employee directors at the Company's investor conferences or attending continuing education </w:t>
      </w:r>
      <w:r w:rsidR="001569D1">
        <w:rPr>
          <w:sz w:val="20"/>
        </w:rPr>
        <w:t>programs</w:t>
      </w:r>
      <w:r w:rsidRPr="00F7773E">
        <w:rPr>
          <w:sz w:val="20"/>
        </w:rPr>
        <w:t xml:space="preserve"> are not separately compensated, but the expenses of </w:t>
      </w:r>
      <w:r>
        <w:rPr>
          <w:sz w:val="20"/>
        </w:rPr>
        <w:t>attending</w:t>
      </w:r>
      <w:r w:rsidRPr="00F7773E">
        <w:rPr>
          <w:sz w:val="20"/>
        </w:rPr>
        <w:t xml:space="preserve"> are reimbursed.</w:t>
      </w:r>
      <w:r>
        <w:rPr>
          <w:sz w:val="20"/>
        </w:rPr>
        <w:t xml:space="preserve">  </w:t>
      </w:r>
    </w:p>
    <w:p w:rsidR="00BF0D59" w:rsidRDefault="003D3985" w:rsidP="00890B3A">
      <w:pPr>
        <w:widowControl/>
        <w:spacing w:after="60"/>
        <w:jc w:val="left"/>
      </w:pPr>
      <w:r w:rsidRPr="0005122F">
        <w:rPr>
          <w:i/>
        </w:rPr>
        <w:t xml:space="preserve">Director Compensation </w:t>
      </w:r>
      <w:r w:rsidR="00582FF2">
        <w:rPr>
          <w:i/>
        </w:rPr>
        <w:t xml:space="preserve">Paid </w:t>
      </w:r>
      <w:r w:rsidRPr="0005122F">
        <w:rPr>
          <w:i/>
        </w:rPr>
        <w:t>for 201</w:t>
      </w:r>
      <w:r w:rsidR="004C224A">
        <w:rPr>
          <w:i/>
        </w:rPr>
        <w:t>5</w:t>
      </w:r>
      <w:r>
        <w:rPr>
          <w:rStyle w:val="002ProxyChar"/>
          <w:b w:val="0"/>
        </w:rPr>
        <w:t xml:space="preserve">.  </w:t>
      </w:r>
      <w:r w:rsidR="00BF0D59">
        <w:t>Set forth below is a table showing the compensation paid for 201</w:t>
      </w:r>
      <w:r w:rsidR="00173B49">
        <w:t>5</w:t>
      </w:r>
      <w:r w:rsidR="00BF0D59">
        <w:t xml:space="preserve"> to </w:t>
      </w:r>
      <w:r w:rsidR="00B758E0">
        <w:t>each non-employee director</w:t>
      </w:r>
      <w:r w:rsidR="00BF0D59">
        <w:t xml:space="preserve"> who served </w:t>
      </w:r>
      <w:r w:rsidR="00A5623B">
        <w:t xml:space="preserve">for any period </w:t>
      </w:r>
      <w:r w:rsidR="00BF0D59">
        <w:t>during 201</w:t>
      </w:r>
      <w:r w:rsidR="00173B49">
        <w:t>5</w:t>
      </w:r>
      <w:r w:rsidR="00730A42">
        <w:t xml:space="preserve">.  The amounts are </w:t>
      </w:r>
      <w:r w:rsidR="002977E5">
        <w:t>based on the standard director compensation arrangements described above</w:t>
      </w:r>
      <w:r w:rsidR="00BF0D59">
        <w:t>.  None of the Company's non-employee directors received any compensation for any</w:t>
      </w:r>
      <w:r w:rsidR="00B800ED">
        <w:t xml:space="preserve"> other</w:t>
      </w:r>
      <w:r w:rsidR="00BF0D59">
        <w:t xml:space="preserve"> service provided to the Company.  </w:t>
      </w:r>
    </w:p>
    <w:p w:rsidR="00D97861" w:rsidRDefault="0009592B" w:rsidP="00890B3A">
      <w:pPr>
        <w:keepNext/>
        <w:widowControl/>
        <w:spacing w:after="60"/>
        <w:jc w:val="left"/>
      </w:pPr>
      <w:r>
        <w:t>In the table</w:t>
      </w:r>
      <w:r w:rsidR="00D97861">
        <w:t xml:space="preserve"> below</w:t>
      </w:r>
      <w:r>
        <w:t>,</w:t>
      </w:r>
      <w:r w:rsidR="00D97861">
        <w:t xml:space="preserve"> —</w:t>
      </w:r>
    </w:p>
    <w:p w:rsidR="00D97861" w:rsidRDefault="003378EC" w:rsidP="00890B3A">
      <w:pPr>
        <w:pStyle w:val="ListParagraph"/>
        <w:keepNext/>
        <w:widowControl/>
        <w:numPr>
          <w:ilvl w:val="0"/>
          <w:numId w:val="27"/>
        </w:numPr>
        <w:tabs>
          <w:tab w:val="left" w:pos="720"/>
        </w:tabs>
        <w:spacing w:after="60"/>
        <w:ind w:left="720"/>
        <w:contextualSpacing w:val="0"/>
        <w:jc w:val="left"/>
      </w:pPr>
      <w:r w:rsidRPr="00D97861">
        <w:rPr>
          <w:i/>
        </w:rPr>
        <w:t xml:space="preserve">Fees </w:t>
      </w:r>
      <w:r w:rsidR="0009592B" w:rsidRPr="00D97861">
        <w:rPr>
          <w:i/>
        </w:rPr>
        <w:t xml:space="preserve">Earned </w:t>
      </w:r>
      <w:r w:rsidRPr="00D97861">
        <w:rPr>
          <w:i/>
        </w:rPr>
        <w:t xml:space="preserve">or </w:t>
      </w:r>
      <w:r w:rsidR="0009592B" w:rsidRPr="00D97861">
        <w:rPr>
          <w:i/>
        </w:rPr>
        <w:t xml:space="preserve">Paid </w:t>
      </w:r>
      <w:r w:rsidRPr="00D97861">
        <w:rPr>
          <w:i/>
        </w:rPr>
        <w:t xml:space="preserve">in </w:t>
      </w:r>
      <w:r w:rsidR="0009592B" w:rsidRPr="00D97861">
        <w:rPr>
          <w:i/>
        </w:rPr>
        <w:t>Cash</w:t>
      </w:r>
      <w:r w:rsidR="0009592B">
        <w:t xml:space="preserve"> </w:t>
      </w:r>
      <w:r w:rsidR="00BF0D59">
        <w:t>include</w:t>
      </w:r>
      <w:r>
        <w:t xml:space="preserve"> </w:t>
      </w:r>
      <w:r w:rsidR="00B8270A">
        <w:t>meeting fees, the directors' annual retainer fee</w:t>
      </w:r>
      <w:r w:rsidR="00BF0D59">
        <w:t xml:space="preserve">, </w:t>
      </w:r>
      <w:r w:rsidR="00D40BC5">
        <w:t xml:space="preserve">and </w:t>
      </w:r>
      <w:r w:rsidR="002E70D3">
        <w:t xml:space="preserve">annual </w:t>
      </w:r>
      <w:r w:rsidR="00BF0D59">
        <w:t xml:space="preserve">fees </w:t>
      </w:r>
      <w:r w:rsidR="00411145">
        <w:t xml:space="preserve">for serving as </w:t>
      </w:r>
      <w:r w:rsidR="00B8270A">
        <w:t xml:space="preserve">the Chair of a committee or as </w:t>
      </w:r>
      <w:r w:rsidR="00D97861">
        <w:t>Chairman of the Board</w:t>
      </w:r>
      <w:r w:rsidR="00BF0D59">
        <w:t>.</w:t>
      </w:r>
      <w:r w:rsidR="00D97861">
        <w:t xml:space="preserve">  </w:t>
      </w:r>
    </w:p>
    <w:p w:rsidR="00D97861" w:rsidRDefault="003378EC" w:rsidP="00890B3A">
      <w:pPr>
        <w:pStyle w:val="ListParagraph"/>
        <w:widowControl/>
        <w:numPr>
          <w:ilvl w:val="0"/>
          <w:numId w:val="27"/>
        </w:numPr>
        <w:tabs>
          <w:tab w:val="left" w:pos="720"/>
        </w:tabs>
        <w:spacing w:after="60"/>
        <w:ind w:left="720"/>
        <w:contextualSpacing w:val="0"/>
        <w:jc w:val="left"/>
      </w:pPr>
      <w:r w:rsidRPr="00D97861">
        <w:rPr>
          <w:i/>
        </w:rPr>
        <w:t xml:space="preserve">Stock </w:t>
      </w:r>
      <w:r w:rsidR="00D97861" w:rsidRPr="00D97861">
        <w:rPr>
          <w:i/>
        </w:rPr>
        <w:t>A</w:t>
      </w:r>
      <w:r w:rsidRPr="00D97861">
        <w:rPr>
          <w:i/>
        </w:rPr>
        <w:t>wards</w:t>
      </w:r>
      <w:r>
        <w:t xml:space="preserve"> show the </w:t>
      </w:r>
      <w:r w:rsidR="00A46755">
        <w:t xml:space="preserve">dollar </w:t>
      </w:r>
      <w:r w:rsidR="00D97861">
        <w:t xml:space="preserve">value </w:t>
      </w:r>
      <w:r w:rsidR="00A46755">
        <w:t xml:space="preserve">of the </w:t>
      </w:r>
      <w:r>
        <w:t xml:space="preserve">annual award of restricted stock made </w:t>
      </w:r>
      <w:r w:rsidR="0092031F">
        <w:t xml:space="preserve">following </w:t>
      </w:r>
      <w:r w:rsidR="001D4D81">
        <w:t xml:space="preserve">the Annual Meeting of Stockholders </w:t>
      </w:r>
      <w:r>
        <w:t>to each director</w:t>
      </w:r>
      <w:r w:rsidR="00FC2469">
        <w:t>.  The award</w:t>
      </w:r>
      <w:r w:rsidR="00D97861">
        <w:t xml:space="preserve"> is denominated in dollars, not shares</w:t>
      </w:r>
      <w:r w:rsidR="00FC2469">
        <w:t xml:space="preserve">, so this number </w:t>
      </w:r>
      <w:r w:rsidR="00FC2469" w:rsidRPr="00FC2469">
        <w:t xml:space="preserve">is the aggregate grant date fair value computed in accordance with Financial Accounting Standards Board (FASB) Accounting Standards Codification (ASC) Topic 718.  The cost does not reflect any estimates made for financial statement reporting purposes of future forfeitures related to service-based vesting conditions.  The valuation of </w:t>
      </w:r>
      <w:r w:rsidR="00FC2469" w:rsidRPr="00FC2469">
        <w:lastRenderedPageBreak/>
        <w:t>the awards is described in the Company's Annual Report on Form 10-K for the year ended December 31, 201</w:t>
      </w:r>
      <w:r w:rsidR="00173B49">
        <w:t>5</w:t>
      </w:r>
      <w:r w:rsidR="00FC2469" w:rsidRPr="00FC2469">
        <w:t xml:space="preserve"> in </w:t>
      </w:r>
      <w:r w:rsidR="00FC2469" w:rsidRPr="00A80C58">
        <w:t xml:space="preserve">Note </w:t>
      </w:r>
      <w:r w:rsidR="00C61D77">
        <w:t>14</w:t>
      </w:r>
      <w:r w:rsidR="00FC2469" w:rsidRPr="00FC2469">
        <w:t xml:space="preserve"> of Notes to Consolidated Financial Statements.  No amounts earned by a director have been capitalized on the balance sheet for 201</w:t>
      </w:r>
      <w:r w:rsidR="00173B49">
        <w:t>5</w:t>
      </w:r>
      <w:r w:rsidR="00FC2469" w:rsidRPr="00FC2469">
        <w:t xml:space="preserve">.  </w:t>
      </w:r>
    </w:p>
    <w:p w:rsidR="00CE7789" w:rsidRDefault="00BF0D59" w:rsidP="004C33D7">
      <w:pPr>
        <w:pStyle w:val="ListParagraph"/>
        <w:widowControl/>
        <w:numPr>
          <w:ilvl w:val="0"/>
          <w:numId w:val="27"/>
        </w:numPr>
        <w:tabs>
          <w:tab w:val="left" w:pos="720"/>
        </w:tabs>
        <w:spacing w:after="0"/>
        <w:ind w:left="720"/>
        <w:contextualSpacing w:val="0"/>
        <w:jc w:val="left"/>
      </w:pPr>
      <w:r>
        <w:t xml:space="preserve">All dollar amounts are rounded to the nearest dollar.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1485"/>
        <w:gridCol w:w="1350"/>
        <w:gridCol w:w="1530"/>
      </w:tblGrid>
      <w:tr w:rsidR="009859B7" w:rsidTr="008B734B">
        <w:trPr>
          <w:tblHeader/>
          <w:jc w:val="center"/>
        </w:trPr>
        <w:tc>
          <w:tcPr>
            <w:tcW w:w="2308"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Name</w:t>
            </w:r>
          </w:p>
        </w:tc>
        <w:tc>
          <w:tcPr>
            <w:tcW w:w="1485" w:type="dxa"/>
            <w:tcBorders>
              <w:bottom w:val="single" w:sz="4" w:space="0" w:color="auto"/>
            </w:tcBorders>
            <w:tcMar>
              <w:top w:w="58" w:type="dxa"/>
              <w:left w:w="115" w:type="dxa"/>
              <w:bottom w:w="58" w:type="dxa"/>
              <w:right w:w="115" w:type="dxa"/>
            </w:tcMar>
            <w:vAlign w:val="bottom"/>
          </w:tcPr>
          <w:p w:rsidR="009859B7" w:rsidRPr="00F96B08" w:rsidRDefault="009859B7" w:rsidP="006C43FC">
            <w:pPr>
              <w:keepNext/>
              <w:spacing w:after="0"/>
              <w:jc w:val="center"/>
              <w:rPr>
                <w:b/>
                <w:sz w:val="18"/>
                <w:szCs w:val="18"/>
              </w:rPr>
            </w:pPr>
            <w:r w:rsidRPr="00F96B08">
              <w:rPr>
                <w:b/>
                <w:sz w:val="18"/>
                <w:szCs w:val="18"/>
              </w:rPr>
              <w:t>Fees Earned or Paid in Cash</w:t>
            </w:r>
          </w:p>
          <w:p w:rsidR="009859B7" w:rsidRPr="00712031" w:rsidRDefault="009859B7" w:rsidP="006C43FC">
            <w:pPr>
              <w:keepNext/>
              <w:spacing w:after="0"/>
              <w:jc w:val="center"/>
              <w:rPr>
                <w:b/>
                <w:sz w:val="18"/>
                <w:szCs w:val="18"/>
              </w:rPr>
            </w:pPr>
            <w:r w:rsidRPr="00F96B08">
              <w:rPr>
                <w:b/>
                <w:sz w:val="18"/>
                <w:szCs w:val="18"/>
              </w:rPr>
              <w:t>($)</w:t>
            </w:r>
          </w:p>
        </w:tc>
        <w:tc>
          <w:tcPr>
            <w:tcW w:w="1350" w:type="dxa"/>
            <w:tcBorders>
              <w:bottom w:val="single" w:sz="4" w:space="0" w:color="auto"/>
            </w:tcBorders>
            <w:tcMar>
              <w:top w:w="58" w:type="dxa"/>
              <w:left w:w="115" w:type="dxa"/>
              <w:bottom w:w="58" w:type="dxa"/>
              <w:right w:w="115" w:type="dxa"/>
            </w:tcMar>
            <w:vAlign w:val="bottom"/>
          </w:tcPr>
          <w:p w:rsidR="009859B7" w:rsidRPr="00712031" w:rsidRDefault="009859B7" w:rsidP="006C43FC">
            <w:pPr>
              <w:keepNext/>
              <w:spacing w:after="0"/>
              <w:jc w:val="center"/>
              <w:rPr>
                <w:b/>
                <w:sz w:val="18"/>
                <w:szCs w:val="18"/>
              </w:rPr>
            </w:pPr>
            <w:r w:rsidRPr="00712031">
              <w:rPr>
                <w:b/>
                <w:sz w:val="18"/>
                <w:szCs w:val="18"/>
              </w:rPr>
              <w:t>Stock Awards</w:t>
            </w:r>
          </w:p>
          <w:p w:rsidR="009859B7" w:rsidRPr="00712031" w:rsidRDefault="009859B7" w:rsidP="006C43FC">
            <w:pPr>
              <w:keepNext/>
              <w:spacing w:after="0"/>
              <w:jc w:val="center"/>
              <w:rPr>
                <w:b/>
                <w:sz w:val="18"/>
                <w:szCs w:val="18"/>
              </w:rPr>
            </w:pPr>
            <w:r w:rsidRPr="00712031">
              <w:rPr>
                <w:b/>
                <w:sz w:val="18"/>
                <w:szCs w:val="18"/>
              </w:rPr>
              <w:t>($)</w:t>
            </w:r>
          </w:p>
        </w:tc>
        <w:tc>
          <w:tcPr>
            <w:tcW w:w="1530" w:type="dxa"/>
            <w:tcBorders>
              <w:bottom w:val="single" w:sz="4" w:space="0" w:color="auto"/>
            </w:tcBorders>
            <w:tcMar>
              <w:top w:w="58" w:type="dxa"/>
              <w:left w:w="115" w:type="dxa"/>
              <w:bottom w:w="58" w:type="dxa"/>
              <w:right w:w="115" w:type="dxa"/>
            </w:tcMar>
            <w:vAlign w:val="bottom"/>
          </w:tcPr>
          <w:p w:rsidR="009859B7" w:rsidRPr="00A2479A" w:rsidRDefault="009859B7" w:rsidP="006C43FC">
            <w:pPr>
              <w:keepNext/>
              <w:spacing w:after="0"/>
              <w:jc w:val="center"/>
              <w:rPr>
                <w:b/>
                <w:sz w:val="18"/>
                <w:szCs w:val="18"/>
              </w:rPr>
            </w:pPr>
            <w:r w:rsidRPr="00A2479A">
              <w:rPr>
                <w:b/>
                <w:sz w:val="18"/>
                <w:szCs w:val="18"/>
              </w:rPr>
              <w:t>Total</w:t>
            </w:r>
          </w:p>
          <w:p w:rsidR="009859B7" w:rsidRPr="00712031" w:rsidRDefault="009859B7" w:rsidP="006C43FC">
            <w:pPr>
              <w:keepNext/>
              <w:spacing w:after="0"/>
              <w:jc w:val="center"/>
              <w:rPr>
                <w:b/>
                <w:sz w:val="18"/>
                <w:szCs w:val="18"/>
              </w:rPr>
            </w:pPr>
            <w:r w:rsidRPr="00A2479A">
              <w:rPr>
                <w:b/>
                <w:sz w:val="18"/>
                <w:szCs w:val="18"/>
              </w:rPr>
              <w:t>($)</w:t>
            </w:r>
          </w:p>
        </w:tc>
      </w:tr>
      <w:tr w:rsidR="009859B7" w:rsidTr="00173B49">
        <w:trPr>
          <w:jc w:val="center"/>
        </w:trPr>
        <w:tc>
          <w:tcPr>
            <w:tcW w:w="2308" w:type="dxa"/>
            <w:shd w:val="clear" w:color="auto" w:fill="FFFFFF" w:themeFill="background1"/>
            <w:tcMar>
              <w:top w:w="58" w:type="dxa"/>
              <w:left w:w="115" w:type="dxa"/>
              <w:bottom w:w="58" w:type="dxa"/>
              <w:right w:w="115" w:type="dxa"/>
            </w:tcMar>
            <w:vAlign w:val="center"/>
          </w:tcPr>
          <w:p w:rsidR="009859B7" w:rsidRPr="00173B49" w:rsidRDefault="009859B7" w:rsidP="00FE1E25">
            <w:pPr>
              <w:keepNext/>
              <w:spacing w:after="0"/>
              <w:jc w:val="left"/>
              <w:rPr>
                <w:sz w:val="20"/>
              </w:rPr>
            </w:pPr>
            <w:r w:rsidRPr="00173B49">
              <w:rPr>
                <w:sz w:val="20"/>
              </w:rPr>
              <w:t>Marian M. Davenport</w:t>
            </w:r>
          </w:p>
        </w:tc>
        <w:tc>
          <w:tcPr>
            <w:tcW w:w="1485" w:type="dxa"/>
            <w:shd w:val="clear" w:color="auto" w:fill="FFFFFF" w:themeFill="background1"/>
            <w:tcMar>
              <w:top w:w="58" w:type="dxa"/>
              <w:left w:w="115" w:type="dxa"/>
              <w:bottom w:w="58" w:type="dxa"/>
              <w:right w:w="115" w:type="dxa"/>
            </w:tcMar>
            <w:vAlign w:val="center"/>
          </w:tcPr>
          <w:p w:rsidR="009859B7" w:rsidRPr="00173B49" w:rsidRDefault="00C85253" w:rsidP="00FE1E25">
            <w:pPr>
              <w:keepNext/>
              <w:spacing w:after="0"/>
              <w:jc w:val="center"/>
              <w:rPr>
                <w:sz w:val="20"/>
              </w:rPr>
            </w:pPr>
            <w:r>
              <w:rPr>
                <w:sz w:val="20"/>
              </w:rPr>
              <w:t>64,250</w:t>
            </w:r>
          </w:p>
        </w:tc>
        <w:tc>
          <w:tcPr>
            <w:tcW w:w="1350" w:type="dxa"/>
            <w:shd w:val="clear" w:color="auto" w:fill="FFFFFF" w:themeFill="background1"/>
            <w:tcMar>
              <w:top w:w="58" w:type="dxa"/>
              <w:left w:w="115" w:type="dxa"/>
              <w:bottom w:w="58" w:type="dxa"/>
              <w:right w:w="115" w:type="dxa"/>
            </w:tcMar>
            <w:vAlign w:val="center"/>
          </w:tcPr>
          <w:p w:rsidR="009859B7" w:rsidRPr="00173B49" w:rsidRDefault="00C85253" w:rsidP="00FE1E25">
            <w:pPr>
              <w:keepNext/>
              <w:spacing w:after="0"/>
              <w:jc w:val="center"/>
              <w:rPr>
                <w:sz w:val="20"/>
              </w:rPr>
            </w:pPr>
            <w:r>
              <w:rPr>
                <w:sz w:val="20"/>
              </w:rPr>
              <w:t>50,000</w:t>
            </w:r>
          </w:p>
        </w:tc>
        <w:tc>
          <w:tcPr>
            <w:tcW w:w="1530" w:type="dxa"/>
            <w:shd w:val="clear" w:color="auto" w:fill="FFFFFF" w:themeFill="background1"/>
            <w:tcMar>
              <w:top w:w="58" w:type="dxa"/>
              <w:left w:w="115" w:type="dxa"/>
              <w:bottom w:w="58" w:type="dxa"/>
              <w:right w:w="115" w:type="dxa"/>
            </w:tcMar>
            <w:vAlign w:val="center"/>
          </w:tcPr>
          <w:p w:rsidR="009859B7" w:rsidRPr="00173B49" w:rsidRDefault="00C85253" w:rsidP="00FE1E25">
            <w:pPr>
              <w:keepNext/>
              <w:tabs>
                <w:tab w:val="right" w:pos="953"/>
              </w:tabs>
              <w:spacing w:after="0"/>
              <w:jc w:val="center"/>
              <w:rPr>
                <w:sz w:val="20"/>
              </w:rPr>
            </w:pPr>
            <w:r>
              <w:rPr>
                <w:sz w:val="20"/>
              </w:rPr>
              <w:t>114,250</w:t>
            </w:r>
          </w:p>
        </w:tc>
      </w:tr>
      <w:tr w:rsidR="00C85253" w:rsidTr="005F5866">
        <w:trPr>
          <w:jc w:val="center"/>
        </w:trPr>
        <w:tc>
          <w:tcPr>
            <w:tcW w:w="2308" w:type="dxa"/>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Maarten D. Hemsley</w:t>
            </w:r>
          </w:p>
        </w:tc>
        <w:tc>
          <w:tcPr>
            <w:tcW w:w="1485" w:type="dxa"/>
            <w:shd w:val="clear" w:color="auto" w:fill="FFFFFF" w:themeFill="background1"/>
            <w:tcMar>
              <w:top w:w="58" w:type="dxa"/>
              <w:left w:w="115" w:type="dxa"/>
              <w:bottom w:w="58" w:type="dxa"/>
              <w:right w:w="115" w:type="dxa"/>
            </w:tcMar>
            <w:vAlign w:val="center"/>
          </w:tcPr>
          <w:p w:rsidR="00C85253" w:rsidRPr="00173B49" w:rsidRDefault="00C85253" w:rsidP="00D40BC5">
            <w:pPr>
              <w:spacing w:after="0"/>
              <w:jc w:val="center"/>
              <w:rPr>
                <w:sz w:val="20"/>
              </w:rPr>
            </w:pPr>
            <w:r>
              <w:rPr>
                <w:sz w:val="20"/>
              </w:rPr>
              <w:t>8</w:t>
            </w:r>
            <w:r w:rsidR="00D40BC5">
              <w:rPr>
                <w:sz w:val="20"/>
              </w:rPr>
              <w:t>7</w:t>
            </w:r>
            <w:r>
              <w:rPr>
                <w:sz w:val="20"/>
              </w:rPr>
              <w:t>,2</w:t>
            </w:r>
            <w:r w:rsidR="00D40BC5">
              <w:rPr>
                <w:sz w:val="20"/>
              </w:rPr>
              <w:t>93</w:t>
            </w:r>
          </w:p>
        </w:tc>
        <w:tc>
          <w:tcPr>
            <w:tcW w:w="1350" w:type="dxa"/>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FFFFFF" w:themeFill="background1"/>
            <w:tcMar>
              <w:top w:w="58" w:type="dxa"/>
              <w:left w:w="115" w:type="dxa"/>
              <w:bottom w:w="58" w:type="dxa"/>
              <w:right w:w="115" w:type="dxa"/>
            </w:tcMar>
            <w:vAlign w:val="center"/>
          </w:tcPr>
          <w:p w:rsidR="00C85253" w:rsidRPr="00173B49" w:rsidRDefault="00C85253" w:rsidP="00D40BC5">
            <w:pPr>
              <w:tabs>
                <w:tab w:val="right" w:pos="953"/>
              </w:tabs>
              <w:spacing w:after="0"/>
              <w:jc w:val="center"/>
              <w:rPr>
                <w:sz w:val="20"/>
              </w:rPr>
            </w:pPr>
            <w:r>
              <w:rPr>
                <w:sz w:val="20"/>
              </w:rPr>
              <w:t>13</w:t>
            </w:r>
            <w:r w:rsidR="00D40BC5">
              <w:rPr>
                <w:sz w:val="20"/>
              </w:rPr>
              <w:t>7</w:t>
            </w:r>
            <w:r>
              <w:rPr>
                <w:sz w:val="20"/>
              </w:rPr>
              <w:t>,2</w:t>
            </w:r>
            <w:r w:rsidR="00D40BC5">
              <w:rPr>
                <w:sz w:val="20"/>
              </w:rPr>
              <w:t>93</w:t>
            </w:r>
          </w:p>
        </w:tc>
      </w:tr>
      <w:tr w:rsidR="00C85253" w:rsidTr="005F5866">
        <w:trPr>
          <w:jc w:val="center"/>
        </w:trPr>
        <w:tc>
          <w:tcPr>
            <w:tcW w:w="2308" w:type="dxa"/>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Charles R. Patton</w:t>
            </w:r>
          </w:p>
        </w:tc>
        <w:tc>
          <w:tcPr>
            <w:tcW w:w="1485" w:type="dxa"/>
            <w:shd w:val="clear" w:color="auto" w:fill="FFFFFF" w:themeFill="background1"/>
            <w:tcMar>
              <w:top w:w="58" w:type="dxa"/>
              <w:left w:w="115" w:type="dxa"/>
              <w:bottom w:w="58" w:type="dxa"/>
              <w:right w:w="115" w:type="dxa"/>
            </w:tcMar>
            <w:vAlign w:val="center"/>
          </w:tcPr>
          <w:p w:rsidR="00C85253" w:rsidRPr="00173B49" w:rsidRDefault="00C85253" w:rsidP="008D4847">
            <w:pPr>
              <w:spacing w:after="0"/>
              <w:jc w:val="center"/>
              <w:rPr>
                <w:sz w:val="20"/>
              </w:rPr>
            </w:pPr>
            <w:r>
              <w:rPr>
                <w:sz w:val="20"/>
              </w:rPr>
              <w:t>49,000</w:t>
            </w:r>
          </w:p>
        </w:tc>
        <w:tc>
          <w:tcPr>
            <w:tcW w:w="1350" w:type="dxa"/>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FFFFFF" w:themeFill="background1"/>
            <w:tcMar>
              <w:top w:w="58" w:type="dxa"/>
              <w:left w:w="115" w:type="dxa"/>
              <w:bottom w:w="58" w:type="dxa"/>
              <w:right w:w="115" w:type="dxa"/>
            </w:tcMar>
            <w:vAlign w:val="center"/>
          </w:tcPr>
          <w:p w:rsidR="00C85253" w:rsidRPr="00173B49" w:rsidRDefault="00C85253" w:rsidP="000356CD">
            <w:pPr>
              <w:tabs>
                <w:tab w:val="right" w:pos="953"/>
              </w:tabs>
              <w:spacing w:after="0"/>
              <w:jc w:val="center"/>
              <w:rPr>
                <w:sz w:val="20"/>
              </w:rPr>
            </w:pPr>
            <w:r>
              <w:rPr>
                <w:sz w:val="20"/>
              </w:rPr>
              <w:t>99,000</w:t>
            </w:r>
          </w:p>
        </w:tc>
      </w:tr>
      <w:tr w:rsidR="00C85253" w:rsidTr="000F01C6">
        <w:trPr>
          <w:jc w:val="center"/>
        </w:trPr>
        <w:tc>
          <w:tcPr>
            <w:tcW w:w="2308" w:type="dxa"/>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Richard O. Schaum</w:t>
            </w:r>
          </w:p>
        </w:tc>
        <w:tc>
          <w:tcPr>
            <w:tcW w:w="1485" w:type="dxa"/>
            <w:shd w:val="clear" w:color="auto" w:fill="FFFFFF" w:themeFill="background1"/>
            <w:tcMar>
              <w:top w:w="58" w:type="dxa"/>
              <w:left w:w="115" w:type="dxa"/>
              <w:bottom w:w="58" w:type="dxa"/>
              <w:right w:w="115" w:type="dxa"/>
            </w:tcMar>
            <w:vAlign w:val="center"/>
          </w:tcPr>
          <w:p w:rsidR="00C85253" w:rsidRPr="00173B49" w:rsidRDefault="00C85253" w:rsidP="00FE1E25">
            <w:pPr>
              <w:spacing w:after="0"/>
              <w:jc w:val="center"/>
              <w:rPr>
                <w:sz w:val="20"/>
              </w:rPr>
            </w:pPr>
            <w:r>
              <w:rPr>
                <w:sz w:val="20"/>
              </w:rPr>
              <w:t>81,250</w:t>
            </w:r>
          </w:p>
        </w:tc>
        <w:tc>
          <w:tcPr>
            <w:tcW w:w="1350" w:type="dxa"/>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shd w:val="clear" w:color="auto" w:fill="FFFFFF" w:themeFill="background1"/>
            <w:tcMar>
              <w:top w:w="58" w:type="dxa"/>
              <w:left w:w="115" w:type="dxa"/>
              <w:bottom w:w="58" w:type="dxa"/>
              <w:right w:w="115" w:type="dxa"/>
            </w:tcMar>
            <w:vAlign w:val="center"/>
          </w:tcPr>
          <w:p w:rsidR="00C85253" w:rsidRPr="00173B49" w:rsidRDefault="00C85253" w:rsidP="00FE1E25">
            <w:pPr>
              <w:tabs>
                <w:tab w:val="right" w:pos="953"/>
              </w:tabs>
              <w:spacing w:after="0"/>
              <w:jc w:val="center"/>
              <w:rPr>
                <w:sz w:val="20"/>
              </w:rPr>
            </w:pPr>
            <w:r>
              <w:rPr>
                <w:sz w:val="20"/>
              </w:rPr>
              <w:t>131,250</w:t>
            </w:r>
          </w:p>
        </w:tc>
      </w:tr>
      <w:tr w:rsidR="00C85253" w:rsidTr="000F01C6">
        <w:trPr>
          <w:jc w:val="center"/>
        </w:trPr>
        <w:tc>
          <w:tcPr>
            <w:tcW w:w="2308" w:type="dxa"/>
            <w:tcBorders>
              <w:bottom w:val="single" w:sz="4" w:space="0" w:color="auto"/>
            </w:tcBorders>
            <w:shd w:val="clear" w:color="auto" w:fill="FFFFFF" w:themeFill="background1"/>
            <w:tcMar>
              <w:top w:w="58" w:type="dxa"/>
              <w:left w:w="115" w:type="dxa"/>
              <w:bottom w:w="58" w:type="dxa"/>
              <w:right w:w="115" w:type="dxa"/>
            </w:tcMar>
            <w:vAlign w:val="bottom"/>
          </w:tcPr>
          <w:p w:rsidR="00C85253" w:rsidRPr="00173B49" w:rsidRDefault="00C85253" w:rsidP="00FE1E25">
            <w:pPr>
              <w:spacing w:after="0"/>
              <w:jc w:val="left"/>
              <w:rPr>
                <w:sz w:val="20"/>
              </w:rPr>
            </w:pPr>
            <w:r w:rsidRPr="00173B49">
              <w:rPr>
                <w:sz w:val="20"/>
              </w:rPr>
              <w:t>Milton L. Scott</w:t>
            </w:r>
            <w:r w:rsidR="009D4D30">
              <w:rPr>
                <w:sz w:val="20"/>
              </w:rPr>
              <w:t xml:space="preserve"> </w:t>
            </w:r>
            <w:r w:rsidR="009D4D30" w:rsidRPr="009D4D30">
              <w:rPr>
                <w:sz w:val="20"/>
                <w:vertAlign w:val="superscript"/>
              </w:rPr>
              <w:t>(1)</w:t>
            </w:r>
          </w:p>
        </w:tc>
        <w:tc>
          <w:tcPr>
            <w:tcW w:w="1485" w:type="dxa"/>
            <w:tcBorders>
              <w:bottom w:val="single" w:sz="4" w:space="0" w:color="auto"/>
            </w:tcBorders>
            <w:shd w:val="clear" w:color="auto" w:fill="FFFFFF" w:themeFill="background1"/>
            <w:tcMar>
              <w:top w:w="58" w:type="dxa"/>
              <w:left w:w="115" w:type="dxa"/>
              <w:bottom w:w="58" w:type="dxa"/>
              <w:right w:w="115" w:type="dxa"/>
            </w:tcMar>
            <w:vAlign w:val="center"/>
          </w:tcPr>
          <w:p w:rsidR="00C85253" w:rsidRPr="00173B49" w:rsidRDefault="00C85253" w:rsidP="00F71DF1">
            <w:pPr>
              <w:spacing w:after="0"/>
              <w:jc w:val="center"/>
              <w:rPr>
                <w:sz w:val="20"/>
              </w:rPr>
            </w:pPr>
            <w:r>
              <w:rPr>
                <w:sz w:val="20"/>
              </w:rPr>
              <w:t>1</w:t>
            </w:r>
            <w:r w:rsidR="00F71DF1">
              <w:rPr>
                <w:sz w:val="20"/>
              </w:rPr>
              <w:t>5</w:t>
            </w:r>
            <w:r>
              <w:rPr>
                <w:sz w:val="20"/>
              </w:rPr>
              <w:t>7,887</w:t>
            </w:r>
          </w:p>
        </w:tc>
        <w:tc>
          <w:tcPr>
            <w:tcW w:w="1350" w:type="dxa"/>
            <w:tcBorders>
              <w:bottom w:val="single" w:sz="4" w:space="0" w:color="auto"/>
            </w:tcBorders>
            <w:shd w:val="clear" w:color="auto" w:fill="FFFFFF" w:themeFill="background1"/>
            <w:tcMar>
              <w:top w:w="58" w:type="dxa"/>
              <w:left w:w="115" w:type="dxa"/>
              <w:bottom w:w="58" w:type="dxa"/>
              <w:right w:w="115" w:type="dxa"/>
            </w:tcMar>
          </w:tcPr>
          <w:p w:rsidR="00C85253" w:rsidRPr="00C85253" w:rsidRDefault="00C85253" w:rsidP="00C85253">
            <w:pPr>
              <w:keepNext/>
              <w:spacing w:after="0"/>
              <w:jc w:val="center"/>
              <w:rPr>
                <w:sz w:val="20"/>
              </w:rPr>
            </w:pPr>
            <w:r w:rsidRPr="00C85253">
              <w:rPr>
                <w:sz w:val="20"/>
              </w:rPr>
              <w:t>50,000</w:t>
            </w:r>
          </w:p>
        </w:tc>
        <w:tc>
          <w:tcPr>
            <w:tcW w:w="1530" w:type="dxa"/>
            <w:tcBorders>
              <w:bottom w:val="single" w:sz="4" w:space="0" w:color="auto"/>
            </w:tcBorders>
            <w:shd w:val="clear" w:color="auto" w:fill="FFFFFF" w:themeFill="background1"/>
            <w:tcMar>
              <w:top w:w="58" w:type="dxa"/>
              <w:left w:w="115" w:type="dxa"/>
              <w:bottom w:w="58" w:type="dxa"/>
              <w:right w:w="115" w:type="dxa"/>
            </w:tcMar>
            <w:vAlign w:val="center"/>
          </w:tcPr>
          <w:p w:rsidR="00C85253" w:rsidRPr="00173B49" w:rsidRDefault="00F71DF1" w:rsidP="00F573E5">
            <w:pPr>
              <w:tabs>
                <w:tab w:val="right" w:pos="953"/>
              </w:tabs>
              <w:spacing w:after="0"/>
              <w:jc w:val="center"/>
              <w:rPr>
                <w:sz w:val="20"/>
              </w:rPr>
            </w:pPr>
            <w:r>
              <w:rPr>
                <w:sz w:val="20"/>
              </w:rPr>
              <w:t>21</w:t>
            </w:r>
            <w:r w:rsidR="00AD0C13">
              <w:rPr>
                <w:sz w:val="20"/>
              </w:rPr>
              <w:t>7,887</w:t>
            </w:r>
          </w:p>
        </w:tc>
      </w:tr>
    </w:tbl>
    <w:p w:rsidR="009D4D30" w:rsidRPr="009D4D30" w:rsidRDefault="00725ED1" w:rsidP="00725ED1">
      <w:pPr>
        <w:widowControl/>
        <w:tabs>
          <w:tab w:val="left" w:pos="1800"/>
        </w:tabs>
        <w:spacing w:before="100" w:after="60"/>
        <w:ind w:left="1800" w:hanging="360"/>
        <w:jc w:val="left"/>
        <w:rPr>
          <w:sz w:val="20"/>
        </w:rPr>
      </w:pPr>
      <w:r>
        <w:rPr>
          <w:sz w:val="20"/>
        </w:rPr>
        <w:t>(1)</w:t>
      </w:r>
      <w:r>
        <w:rPr>
          <w:sz w:val="20"/>
        </w:rPr>
        <w:tab/>
      </w:r>
      <w:r w:rsidR="009D4D30">
        <w:rPr>
          <w:sz w:val="20"/>
        </w:rPr>
        <w:t>The fees paid to Mr. Scott for 2015 include a special</w:t>
      </w:r>
      <w:r>
        <w:rPr>
          <w:sz w:val="20"/>
        </w:rPr>
        <w:t>, one-time</w:t>
      </w:r>
      <w:r w:rsidR="009D4D30">
        <w:rPr>
          <w:sz w:val="20"/>
        </w:rPr>
        <w:t xml:space="preserve"> payment of $50,000 </w:t>
      </w:r>
      <w:r>
        <w:rPr>
          <w:sz w:val="20"/>
        </w:rPr>
        <w:t xml:space="preserve">in recognition of </w:t>
      </w:r>
      <w:r w:rsidR="009D4D30">
        <w:rPr>
          <w:sz w:val="20"/>
        </w:rPr>
        <w:t xml:space="preserve">the extra work </w:t>
      </w:r>
      <w:r>
        <w:rPr>
          <w:sz w:val="20"/>
        </w:rPr>
        <w:t xml:space="preserve">required of him in 2015 in his dual capacity </w:t>
      </w:r>
      <w:r w:rsidR="009D4D30">
        <w:rPr>
          <w:sz w:val="20"/>
        </w:rPr>
        <w:t xml:space="preserve">as Chairman of the Board and Chair of the Audit Committee, </w:t>
      </w:r>
      <w:r>
        <w:rPr>
          <w:sz w:val="20"/>
        </w:rPr>
        <w:t xml:space="preserve">including the </w:t>
      </w:r>
      <w:r w:rsidR="009D4D30">
        <w:rPr>
          <w:sz w:val="20"/>
        </w:rPr>
        <w:t xml:space="preserve">34 meetings </w:t>
      </w:r>
      <w:r>
        <w:rPr>
          <w:sz w:val="20"/>
        </w:rPr>
        <w:t xml:space="preserve">of the Board and Audit Committee </w:t>
      </w:r>
      <w:r w:rsidR="009D4D30">
        <w:rPr>
          <w:sz w:val="20"/>
        </w:rPr>
        <w:t xml:space="preserve">in 2015, </w:t>
      </w:r>
      <w:r>
        <w:rPr>
          <w:sz w:val="20"/>
        </w:rPr>
        <w:t xml:space="preserve">as well as the extensive work required outside of meetings.  </w:t>
      </w:r>
    </w:p>
    <w:p w:rsidR="003A43D7" w:rsidRDefault="00FC2469" w:rsidP="009D4D30">
      <w:pPr>
        <w:widowControl/>
        <w:spacing w:after="60"/>
        <w:jc w:val="left"/>
      </w:pPr>
      <w:r>
        <w:rPr>
          <w:i/>
        </w:rPr>
        <w:t xml:space="preserve">Outstanding Awards.  </w:t>
      </w:r>
      <w:r w:rsidR="000851FF" w:rsidRPr="000851FF">
        <w:t>The following table shows at December 31, 201</w:t>
      </w:r>
      <w:r w:rsidR="00DC55B1">
        <w:t>5</w:t>
      </w:r>
      <w:r w:rsidR="000851FF" w:rsidRPr="000851FF">
        <w:t xml:space="preserve"> for each non-employee director the grant date fair value of each outstanding stock award that has been expensed</w:t>
      </w:r>
      <w:r w:rsidR="0080054A">
        <w:t>,</w:t>
      </w:r>
      <w:r w:rsidR="000851FF" w:rsidRPr="000851FF">
        <w:t xml:space="preserve"> and the aggregate number of shares of stock awarded.  </w:t>
      </w:r>
    </w:p>
    <w:p w:rsidR="00A46755" w:rsidRDefault="00A46755" w:rsidP="00541AB5">
      <w:pPr>
        <w:widowControl/>
        <w:spacing w:after="60"/>
        <w:jc w:val="left"/>
      </w:pPr>
      <w:r>
        <w:t xml:space="preserve">The annual stock award to directors is </w:t>
      </w:r>
      <w:r w:rsidR="00FC2469">
        <w:t xml:space="preserve">denominated in dollars ($50,000) </w:t>
      </w:r>
      <w:r>
        <w:t xml:space="preserve">and </w:t>
      </w:r>
      <w:r w:rsidR="000D5A34">
        <w:t>was</w:t>
      </w:r>
      <w:r>
        <w:t xml:space="preserve"> converted into shares </w:t>
      </w:r>
      <w:r w:rsidR="003A43D7">
        <w:t xml:space="preserve">of common stock </w:t>
      </w:r>
      <w:r>
        <w:t xml:space="preserve">using the </w:t>
      </w:r>
      <w:r w:rsidR="000D5A34">
        <w:t>$</w:t>
      </w:r>
      <w:r w:rsidR="00591C7F">
        <w:t xml:space="preserve">4.12 </w:t>
      </w:r>
      <w:r>
        <w:t>closing price per share on the award date</w:t>
      </w:r>
      <w:r w:rsidR="003A43D7">
        <w:t xml:space="preserve">, May </w:t>
      </w:r>
      <w:r w:rsidR="00591C7F">
        <w:t>8</w:t>
      </w:r>
      <w:r w:rsidR="003A43D7">
        <w:t>, 201</w:t>
      </w:r>
      <w:r w:rsidR="00591C7F">
        <w:t>5</w:t>
      </w:r>
      <w:r w:rsidR="000D5A34">
        <w:t xml:space="preserve">, which resulted in an award to each non-employee director of </w:t>
      </w:r>
      <w:r w:rsidR="00591C7F">
        <w:t>12</w:t>
      </w:r>
      <w:r w:rsidR="00592FDB">
        <w:t>,</w:t>
      </w:r>
      <w:r w:rsidR="00591C7F">
        <w:t>135</w:t>
      </w:r>
      <w:r w:rsidR="00592FDB">
        <w:t xml:space="preserve"> shares</w:t>
      </w:r>
      <w:r w:rsidR="00FC2469">
        <w:t>.</w:t>
      </w:r>
    </w:p>
    <w:p w:rsidR="00541AB5" w:rsidRDefault="000851FF" w:rsidP="00541AB5">
      <w:pPr>
        <w:widowControl/>
        <w:spacing w:after="60"/>
        <w:jc w:val="left"/>
      </w:pPr>
      <w:r w:rsidRPr="000851FF">
        <w:t xml:space="preserve">At </w:t>
      </w:r>
      <w:r w:rsidR="00A46755">
        <w:t>December 31, 201</w:t>
      </w:r>
      <w:r w:rsidR="009B6974">
        <w:t>5</w:t>
      </w:r>
      <w:r w:rsidRPr="000851FF">
        <w:t>, no non-employee director held any stock options</w:t>
      </w:r>
      <w:r w:rsidR="007C4DBB">
        <w:t xml:space="preserve"> or any stock-based grant or award other than those shown in the table below</w:t>
      </w:r>
      <w:r w:rsidRPr="000851FF">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1350"/>
        <w:gridCol w:w="1816"/>
        <w:gridCol w:w="1538"/>
      </w:tblGrid>
      <w:tr w:rsidR="000851FF" w:rsidTr="00BF0F5B">
        <w:trPr>
          <w:cantSplit/>
          <w:tblHeader/>
          <w:jc w:val="center"/>
        </w:trPr>
        <w:tc>
          <w:tcPr>
            <w:tcW w:w="2246"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Name</w:t>
            </w:r>
          </w:p>
        </w:tc>
        <w:tc>
          <w:tcPr>
            <w:tcW w:w="1350"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Grant Date</w:t>
            </w:r>
          </w:p>
        </w:tc>
        <w:tc>
          <w:tcPr>
            <w:tcW w:w="1816"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Aggregate Stock Awards Outstanding</w:t>
            </w:r>
          </w:p>
          <w:p w:rsidR="000851FF" w:rsidRPr="00F9652B" w:rsidRDefault="000851FF" w:rsidP="009B6974">
            <w:pPr>
              <w:spacing w:after="0"/>
              <w:jc w:val="center"/>
              <w:rPr>
                <w:b/>
                <w:sz w:val="18"/>
                <w:szCs w:val="18"/>
              </w:rPr>
            </w:pPr>
            <w:r w:rsidRPr="00F9652B">
              <w:rPr>
                <w:b/>
                <w:sz w:val="18"/>
                <w:szCs w:val="18"/>
              </w:rPr>
              <w:t>at December 31, 201</w:t>
            </w:r>
            <w:r w:rsidR="00B71A16">
              <w:rPr>
                <w:b/>
                <w:sz w:val="18"/>
                <w:szCs w:val="18"/>
              </w:rPr>
              <w:t>5</w:t>
            </w:r>
          </w:p>
          <w:p w:rsidR="000851FF" w:rsidRPr="00F9652B" w:rsidRDefault="000851FF" w:rsidP="009B6974">
            <w:pPr>
              <w:spacing w:after="0"/>
              <w:jc w:val="center"/>
              <w:rPr>
                <w:b/>
                <w:sz w:val="18"/>
                <w:szCs w:val="18"/>
              </w:rPr>
            </w:pPr>
            <w:r w:rsidRPr="00F9652B">
              <w:rPr>
                <w:b/>
                <w:sz w:val="18"/>
                <w:szCs w:val="18"/>
              </w:rPr>
              <w:t>(#)</w:t>
            </w:r>
          </w:p>
        </w:tc>
        <w:tc>
          <w:tcPr>
            <w:tcW w:w="1538" w:type="dxa"/>
            <w:tcBorders>
              <w:bottom w:val="single" w:sz="4" w:space="0" w:color="auto"/>
            </w:tcBorders>
            <w:tcMar>
              <w:top w:w="58" w:type="dxa"/>
              <w:left w:w="115" w:type="dxa"/>
              <w:bottom w:w="58" w:type="dxa"/>
              <w:right w:w="115" w:type="dxa"/>
            </w:tcMar>
            <w:vAlign w:val="bottom"/>
          </w:tcPr>
          <w:p w:rsidR="000851FF" w:rsidRPr="00F9652B" w:rsidRDefault="000851FF" w:rsidP="009B6974">
            <w:pPr>
              <w:spacing w:after="0"/>
              <w:jc w:val="center"/>
              <w:rPr>
                <w:b/>
                <w:sz w:val="18"/>
                <w:szCs w:val="18"/>
              </w:rPr>
            </w:pPr>
            <w:r w:rsidRPr="00F9652B">
              <w:rPr>
                <w:b/>
                <w:sz w:val="18"/>
                <w:szCs w:val="18"/>
              </w:rPr>
              <w:t>Grant Date Fair</w:t>
            </w:r>
          </w:p>
          <w:p w:rsidR="000851FF" w:rsidRPr="00F9652B" w:rsidRDefault="000851FF" w:rsidP="009B6974">
            <w:pPr>
              <w:spacing w:after="0"/>
              <w:jc w:val="center"/>
              <w:rPr>
                <w:b/>
                <w:sz w:val="18"/>
                <w:szCs w:val="18"/>
              </w:rPr>
            </w:pPr>
            <w:r w:rsidRPr="00F9652B">
              <w:rPr>
                <w:b/>
                <w:sz w:val="18"/>
                <w:szCs w:val="18"/>
              </w:rPr>
              <w:t>Value of Stock</w:t>
            </w:r>
          </w:p>
          <w:p w:rsidR="000851FF" w:rsidRPr="00F9652B" w:rsidRDefault="000851FF" w:rsidP="009B6974">
            <w:pPr>
              <w:spacing w:after="0"/>
              <w:jc w:val="center"/>
              <w:rPr>
                <w:b/>
                <w:sz w:val="18"/>
                <w:szCs w:val="18"/>
              </w:rPr>
            </w:pPr>
            <w:r w:rsidRPr="00F9652B">
              <w:rPr>
                <w:b/>
                <w:sz w:val="18"/>
                <w:szCs w:val="18"/>
              </w:rPr>
              <w:t>Awards</w:t>
            </w:r>
          </w:p>
          <w:p w:rsidR="000851FF" w:rsidRPr="00F9652B" w:rsidRDefault="000851FF" w:rsidP="009B6974">
            <w:pPr>
              <w:spacing w:after="0"/>
              <w:jc w:val="center"/>
              <w:rPr>
                <w:b/>
                <w:sz w:val="18"/>
                <w:szCs w:val="18"/>
              </w:rPr>
            </w:pPr>
            <w:r w:rsidRPr="00F9652B">
              <w:rPr>
                <w:b/>
                <w:sz w:val="18"/>
                <w:szCs w:val="18"/>
              </w:rPr>
              <w:t>($)</w:t>
            </w:r>
          </w:p>
        </w:tc>
      </w:tr>
      <w:tr w:rsidR="002762FA" w:rsidTr="00C22D65">
        <w:trPr>
          <w:jc w:val="center"/>
        </w:trPr>
        <w:tc>
          <w:tcPr>
            <w:tcW w:w="224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9B6974">
            <w:pPr>
              <w:spacing w:after="0"/>
              <w:jc w:val="left"/>
              <w:rPr>
                <w:sz w:val="20"/>
              </w:rPr>
            </w:pPr>
            <w:r>
              <w:rPr>
                <w:sz w:val="20"/>
              </w:rPr>
              <w:t>Marian M. Davenport</w:t>
            </w:r>
          </w:p>
        </w:tc>
        <w:tc>
          <w:tcPr>
            <w:tcW w:w="1350"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690AEF" w:rsidP="009B6974">
            <w:pPr>
              <w:spacing w:after="0"/>
              <w:jc w:val="center"/>
              <w:rPr>
                <w:sz w:val="20"/>
              </w:rPr>
            </w:pPr>
            <w:r>
              <w:rPr>
                <w:sz w:val="20"/>
              </w:rPr>
              <w:t>May 8, 2015</w:t>
            </w:r>
          </w:p>
        </w:tc>
        <w:tc>
          <w:tcPr>
            <w:tcW w:w="1816"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9B6974" w:rsidP="009B6974">
            <w:pPr>
              <w:spacing w:after="0"/>
              <w:jc w:val="center"/>
              <w:rPr>
                <w:sz w:val="20"/>
              </w:rPr>
            </w:pPr>
            <w:r>
              <w:rPr>
                <w:sz w:val="20"/>
              </w:rPr>
              <w:t>12,135</w:t>
            </w:r>
          </w:p>
        </w:tc>
        <w:tc>
          <w:tcPr>
            <w:tcW w:w="1538" w:type="dxa"/>
            <w:tcBorders>
              <w:top w:val="single" w:sz="4" w:space="0" w:color="auto"/>
            </w:tcBorders>
            <w:shd w:val="clear" w:color="auto" w:fill="C6D9F1" w:themeFill="text2" w:themeFillTint="33"/>
            <w:tcMar>
              <w:top w:w="58" w:type="dxa"/>
              <w:left w:w="115" w:type="dxa"/>
              <w:bottom w:w="58" w:type="dxa"/>
              <w:right w:w="115" w:type="dxa"/>
            </w:tcMar>
          </w:tcPr>
          <w:p w:rsidR="002762FA" w:rsidRPr="00F9652B" w:rsidRDefault="002762FA" w:rsidP="009B6974">
            <w:pPr>
              <w:spacing w:after="0"/>
              <w:jc w:val="center"/>
              <w:rPr>
                <w:sz w:val="20"/>
              </w:rPr>
            </w:pPr>
            <w:r w:rsidRPr="00F9652B">
              <w:rPr>
                <w:sz w:val="20"/>
              </w:rPr>
              <w:t>50,000</w:t>
            </w:r>
          </w:p>
        </w:tc>
      </w:tr>
      <w:tr w:rsidR="00690AEF" w:rsidTr="002762FA">
        <w:trPr>
          <w:jc w:val="center"/>
        </w:trPr>
        <w:tc>
          <w:tcPr>
            <w:tcW w:w="2246" w:type="dxa"/>
            <w:tcMar>
              <w:top w:w="58" w:type="dxa"/>
              <w:left w:w="115" w:type="dxa"/>
              <w:bottom w:w="58" w:type="dxa"/>
              <w:right w:w="115" w:type="dxa"/>
            </w:tcMar>
          </w:tcPr>
          <w:p w:rsidR="00690AEF" w:rsidRPr="00F9652B" w:rsidRDefault="00690AEF" w:rsidP="009B6974">
            <w:pPr>
              <w:spacing w:after="0"/>
              <w:rPr>
                <w:sz w:val="20"/>
              </w:rPr>
            </w:pPr>
            <w:r w:rsidRPr="00F9652B">
              <w:rPr>
                <w:sz w:val="20"/>
              </w:rPr>
              <w:t xml:space="preserve">Maarten D. Hemsley </w:t>
            </w:r>
          </w:p>
        </w:tc>
        <w:tc>
          <w:tcPr>
            <w:tcW w:w="1350" w:type="dxa"/>
            <w:tcMar>
              <w:top w:w="58" w:type="dxa"/>
              <w:left w:w="115" w:type="dxa"/>
              <w:bottom w:w="58" w:type="dxa"/>
              <w:right w:w="115" w:type="dxa"/>
            </w:tcMar>
          </w:tcPr>
          <w:p w:rsidR="00690AEF" w:rsidRDefault="00690AEF" w:rsidP="00470702">
            <w:pPr>
              <w:spacing w:after="0"/>
              <w:jc w:val="center"/>
            </w:pPr>
            <w:r w:rsidRPr="00EA29EB">
              <w:rPr>
                <w:sz w:val="20"/>
              </w:rPr>
              <w:t>May 8, 2015</w:t>
            </w:r>
          </w:p>
        </w:tc>
        <w:tc>
          <w:tcPr>
            <w:tcW w:w="1816" w:type="dxa"/>
            <w:tcMar>
              <w:top w:w="58" w:type="dxa"/>
              <w:left w:w="115" w:type="dxa"/>
              <w:bottom w:w="58" w:type="dxa"/>
              <w:right w:w="115" w:type="dxa"/>
            </w:tcMar>
          </w:tcPr>
          <w:p w:rsidR="00690AEF" w:rsidRPr="009B6974" w:rsidRDefault="00690AEF" w:rsidP="009B6974">
            <w:pPr>
              <w:spacing w:after="0"/>
              <w:jc w:val="center"/>
              <w:rPr>
                <w:sz w:val="20"/>
              </w:rPr>
            </w:pPr>
            <w:r w:rsidRPr="005F2EF1">
              <w:rPr>
                <w:sz w:val="20"/>
              </w:rPr>
              <w:t>12,135</w:t>
            </w:r>
          </w:p>
        </w:tc>
        <w:tc>
          <w:tcPr>
            <w:tcW w:w="1538" w:type="dxa"/>
            <w:tcMar>
              <w:top w:w="58" w:type="dxa"/>
              <w:left w:w="115" w:type="dxa"/>
              <w:bottom w:w="58" w:type="dxa"/>
              <w:right w:w="115" w:type="dxa"/>
            </w:tcMar>
          </w:tcPr>
          <w:p w:rsidR="00690AEF" w:rsidRPr="00F9652B" w:rsidRDefault="00690AEF" w:rsidP="009B6974">
            <w:pPr>
              <w:spacing w:after="0"/>
              <w:jc w:val="center"/>
              <w:rPr>
                <w:sz w:val="20"/>
              </w:rPr>
            </w:pPr>
            <w:r w:rsidRPr="00F9652B">
              <w:rPr>
                <w:sz w:val="20"/>
              </w:rPr>
              <w:t>50,000</w:t>
            </w:r>
          </w:p>
        </w:tc>
      </w:tr>
      <w:tr w:rsidR="00690AEF" w:rsidTr="00C22D65">
        <w:trPr>
          <w:jc w:val="center"/>
        </w:trPr>
        <w:tc>
          <w:tcPr>
            <w:tcW w:w="2246" w:type="dxa"/>
            <w:shd w:val="clear" w:color="auto" w:fill="C6D9F1" w:themeFill="text2" w:themeFillTint="33"/>
            <w:tcMar>
              <w:top w:w="58" w:type="dxa"/>
              <w:left w:w="115" w:type="dxa"/>
              <w:bottom w:w="58" w:type="dxa"/>
              <w:right w:w="115" w:type="dxa"/>
            </w:tcMar>
          </w:tcPr>
          <w:p w:rsidR="00690AEF" w:rsidRPr="00F9652B" w:rsidRDefault="00690AEF" w:rsidP="009B6974">
            <w:pPr>
              <w:spacing w:after="0"/>
              <w:rPr>
                <w:sz w:val="20"/>
              </w:rPr>
            </w:pPr>
            <w:r w:rsidRPr="00F9652B">
              <w:rPr>
                <w:sz w:val="20"/>
              </w:rPr>
              <w:t>Charles R. Patton</w:t>
            </w:r>
          </w:p>
        </w:tc>
        <w:tc>
          <w:tcPr>
            <w:tcW w:w="1350" w:type="dxa"/>
            <w:shd w:val="clear" w:color="auto" w:fill="C6D9F1" w:themeFill="text2" w:themeFillTint="33"/>
            <w:tcMar>
              <w:top w:w="58" w:type="dxa"/>
              <w:left w:w="115" w:type="dxa"/>
              <w:bottom w:w="58" w:type="dxa"/>
              <w:right w:w="115" w:type="dxa"/>
            </w:tcMar>
          </w:tcPr>
          <w:p w:rsidR="00690AEF" w:rsidRDefault="00690AEF" w:rsidP="00470702">
            <w:pPr>
              <w:spacing w:after="0"/>
              <w:jc w:val="center"/>
            </w:pPr>
            <w:r w:rsidRPr="00EA29EB">
              <w:rPr>
                <w:sz w:val="20"/>
              </w:rPr>
              <w:t>May 8, 2015</w:t>
            </w:r>
          </w:p>
        </w:tc>
        <w:tc>
          <w:tcPr>
            <w:tcW w:w="1816" w:type="dxa"/>
            <w:shd w:val="clear" w:color="auto" w:fill="C6D9F1" w:themeFill="text2" w:themeFillTint="33"/>
            <w:tcMar>
              <w:top w:w="58" w:type="dxa"/>
              <w:left w:w="115" w:type="dxa"/>
              <w:bottom w:w="58" w:type="dxa"/>
              <w:right w:w="115" w:type="dxa"/>
            </w:tcMar>
          </w:tcPr>
          <w:p w:rsidR="00690AEF" w:rsidRPr="009B6974" w:rsidRDefault="00690AEF" w:rsidP="009B6974">
            <w:pPr>
              <w:spacing w:after="0"/>
              <w:jc w:val="center"/>
              <w:rPr>
                <w:sz w:val="20"/>
              </w:rPr>
            </w:pPr>
            <w:r w:rsidRPr="005F2EF1">
              <w:rPr>
                <w:sz w:val="20"/>
              </w:rPr>
              <w:t>12,135</w:t>
            </w:r>
          </w:p>
        </w:tc>
        <w:tc>
          <w:tcPr>
            <w:tcW w:w="1538" w:type="dxa"/>
            <w:shd w:val="clear" w:color="auto" w:fill="C6D9F1" w:themeFill="text2" w:themeFillTint="33"/>
            <w:tcMar>
              <w:top w:w="58" w:type="dxa"/>
              <w:left w:w="115" w:type="dxa"/>
              <w:bottom w:w="58" w:type="dxa"/>
              <w:right w:w="115" w:type="dxa"/>
            </w:tcMar>
          </w:tcPr>
          <w:p w:rsidR="00690AEF" w:rsidRPr="00F9652B" w:rsidRDefault="00690AEF" w:rsidP="009B6974">
            <w:pPr>
              <w:spacing w:after="0"/>
              <w:jc w:val="center"/>
              <w:rPr>
                <w:sz w:val="20"/>
              </w:rPr>
            </w:pPr>
            <w:r w:rsidRPr="00F9652B">
              <w:rPr>
                <w:sz w:val="20"/>
              </w:rPr>
              <w:t>50,000</w:t>
            </w:r>
          </w:p>
        </w:tc>
      </w:tr>
      <w:tr w:rsidR="00690AEF" w:rsidTr="009B6974">
        <w:trPr>
          <w:jc w:val="center"/>
        </w:trPr>
        <w:tc>
          <w:tcPr>
            <w:tcW w:w="2246" w:type="dxa"/>
            <w:tcMar>
              <w:top w:w="58" w:type="dxa"/>
              <w:left w:w="115" w:type="dxa"/>
              <w:bottom w:w="58" w:type="dxa"/>
              <w:right w:w="115" w:type="dxa"/>
            </w:tcMar>
          </w:tcPr>
          <w:p w:rsidR="00690AEF" w:rsidRPr="00F9652B" w:rsidRDefault="00690AEF" w:rsidP="009B6974">
            <w:pPr>
              <w:spacing w:after="0"/>
              <w:rPr>
                <w:sz w:val="20"/>
              </w:rPr>
            </w:pPr>
            <w:r w:rsidRPr="00F9652B">
              <w:rPr>
                <w:sz w:val="20"/>
              </w:rPr>
              <w:t>Richard O. Schaum</w:t>
            </w:r>
          </w:p>
        </w:tc>
        <w:tc>
          <w:tcPr>
            <w:tcW w:w="1350" w:type="dxa"/>
            <w:tcMar>
              <w:top w:w="58" w:type="dxa"/>
              <w:left w:w="115" w:type="dxa"/>
              <w:bottom w:w="58" w:type="dxa"/>
              <w:right w:w="115" w:type="dxa"/>
            </w:tcMar>
          </w:tcPr>
          <w:p w:rsidR="00690AEF" w:rsidRDefault="00690AEF" w:rsidP="00470702">
            <w:pPr>
              <w:spacing w:after="0"/>
              <w:jc w:val="center"/>
            </w:pPr>
            <w:r w:rsidRPr="00EA29EB">
              <w:rPr>
                <w:sz w:val="20"/>
              </w:rPr>
              <w:t>May 8, 2015</w:t>
            </w:r>
          </w:p>
        </w:tc>
        <w:tc>
          <w:tcPr>
            <w:tcW w:w="1816" w:type="dxa"/>
            <w:tcMar>
              <w:top w:w="58" w:type="dxa"/>
              <w:left w:w="115" w:type="dxa"/>
              <w:bottom w:w="58" w:type="dxa"/>
              <w:right w:w="115" w:type="dxa"/>
            </w:tcMar>
          </w:tcPr>
          <w:p w:rsidR="00690AEF" w:rsidRPr="009B6974" w:rsidRDefault="00690AEF" w:rsidP="009B6974">
            <w:pPr>
              <w:spacing w:after="0"/>
              <w:jc w:val="center"/>
              <w:rPr>
                <w:sz w:val="20"/>
              </w:rPr>
            </w:pPr>
            <w:r w:rsidRPr="005F2EF1">
              <w:rPr>
                <w:sz w:val="20"/>
              </w:rPr>
              <w:t>12,135</w:t>
            </w:r>
          </w:p>
        </w:tc>
        <w:tc>
          <w:tcPr>
            <w:tcW w:w="1538" w:type="dxa"/>
            <w:tcMar>
              <w:top w:w="58" w:type="dxa"/>
              <w:left w:w="115" w:type="dxa"/>
              <w:bottom w:w="58" w:type="dxa"/>
              <w:right w:w="115" w:type="dxa"/>
            </w:tcMar>
          </w:tcPr>
          <w:p w:rsidR="00690AEF" w:rsidRPr="00F9652B" w:rsidRDefault="00690AEF" w:rsidP="009B6974">
            <w:pPr>
              <w:spacing w:after="0"/>
              <w:jc w:val="center"/>
              <w:rPr>
                <w:sz w:val="20"/>
              </w:rPr>
            </w:pPr>
            <w:r w:rsidRPr="00F9652B">
              <w:rPr>
                <w:sz w:val="20"/>
              </w:rPr>
              <w:t>50,000</w:t>
            </w:r>
          </w:p>
        </w:tc>
      </w:tr>
      <w:tr w:rsidR="00690AEF" w:rsidTr="009B6974">
        <w:trPr>
          <w:jc w:val="center"/>
        </w:trPr>
        <w:tc>
          <w:tcPr>
            <w:tcW w:w="2246" w:type="dxa"/>
            <w:tcBorders>
              <w:bottom w:val="single" w:sz="4" w:space="0" w:color="auto"/>
            </w:tcBorders>
            <w:shd w:val="clear" w:color="auto" w:fill="C6D9F1" w:themeFill="text2" w:themeFillTint="33"/>
            <w:tcMar>
              <w:top w:w="58" w:type="dxa"/>
              <w:left w:w="115" w:type="dxa"/>
              <w:bottom w:w="58" w:type="dxa"/>
              <w:right w:w="115" w:type="dxa"/>
            </w:tcMar>
          </w:tcPr>
          <w:p w:rsidR="00690AEF" w:rsidRPr="00F9652B" w:rsidRDefault="00690AEF" w:rsidP="009B6974">
            <w:pPr>
              <w:spacing w:after="0"/>
              <w:rPr>
                <w:sz w:val="20"/>
              </w:rPr>
            </w:pPr>
            <w:r w:rsidRPr="00F9652B">
              <w:rPr>
                <w:sz w:val="20"/>
              </w:rPr>
              <w:t>Milton L. Scott</w:t>
            </w:r>
          </w:p>
        </w:tc>
        <w:tc>
          <w:tcPr>
            <w:tcW w:w="1350" w:type="dxa"/>
            <w:tcBorders>
              <w:bottom w:val="single" w:sz="4" w:space="0" w:color="auto"/>
            </w:tcBorders>
            <w:shd w:val="clear" w:color="auto" w:fill="C6D9F1" w:themeFill="text2" w:themeFillTint="33"/>
            <w:tcMar>
              <w:top w:w="58" w:type="dxa"/>
              <w:left w:w="115" w:type="dxa"/>
              <w:bottom w:w="58" w:type="dxa"/>
              <w:right w:w="115" w:type="dxa"/>
            </w:tcMar>
          </w:tcPr>
          <w:p w:rsidR="00690AEF" w:rsidRDefault="00690AEF" w:rsidP="00470702">
            <w:pPr>
              <w:spacing w:after="0"/>
              <w:jc w:val="center"/>
            </w:pPr>
            <w:r w:rsidRPr="00EA29EB">
              <w:rPr>
                <w:sz w:val="20"/>
              </w:rPr>
              <w:t>May 8, 2015</w:t>
            </w:r>
          </w:p>
        </w:tc>
        <w:tc>
          <w:tcPr>
            <w:tcW w:w="1816" w:type="dxa"/>
            <w:tcBorders>
              <w:bottom w:val="single" w:sz="4" w:space="0" w:color="auto"/>
            </w:tcBorders>
            <w:shd w:val="clear" w:color="auto" w:fill="C6D9F1" w:themeFill="text2" w:themeFillTint="33"/>
            <w:tcMar>
              <w:top w:w="58" w:type="dxa"/>
              <w:left w:w="115" w:type="dxa"/>
              <w:bottom w:w="58" w:type="dxa"/>
              <w:right w:w="115" w:type="dxa"/>
            </w:tcMar>
          </w:tcPr>
          <w:p w:rsidR="00690AEF" w:rsidRPr="009B6974" w:rsidRDefault="00690AEF" w:rsidP="009B6974">
            <w:pPr>
              <w:spacing w:after="0"/>
              <w:jc w:val="center"/>
              <w:rPr>
                <w:sz w:val="20"/>
              </w:rPr>
            </w:pPr>
            <w:r w:rsidRPr="005F2EF1">
              <w:rPr>
                <w:sz w:val="20"/>
              </w:rPr>
              <w:t>12,135</w:t>
            </w:r>
          </w:p>
        </w:tc>
        <w:tc>
          <w:tcPr>
            <w:tcW w:w="1538" w:type="dxa"/>
            <w:tcBorders>
              <w:bottom w:val="single" w:sz="4" w:space="0" w:color="auto"/>
            </w:tcBorders>
            <w:shd w:val="clear" w:color="auto" w:fill="C6D9F1" w:themeFill="text2" w:themeFillTint="33"/>
            <w:tcMar>
              <w:top w:w="58" w:type="dxa"/>
              <w:left w:w="115" w:type="dxa"/>
              <w:bottom w:w="58" w:type="dxa"/>
              <w:right w:w="115" w:type="dxa"/>
            </w:tcMar>
          </w:tcPr>
          <w:p w:rsidR="00690AEF" w:rsidRPr="00F9652B" w:rsidRDefault="00690AEF" w:rsidP="009B6974">
            <w:pPr>
              <w:spacing w:after="0"/>
              <w:jc w:val="center"/>
              <w:rPr>
                <w:sz w:val="20"/>
              </w:rPr>
            </w:pPr>
            <w:r w:rsidRPr="00F9652B">
              <w:rPr>
                <w:sz w:val="20"/>
              </w:rPr>
              <w:t>50,000</w:t>
            </w:r>
          </w:p>
        </w:tc>
      </w:tr>
    </w:tbl>
    <w:p w:rsidR="00F023D8" w:rsidRPr="001C41B2" w:rsidRDefault="00DC60A2" w:rsidP="00890B3A">
      <w:pPr>
        <w:pStyle w:val="001Proxy"/>
        <w:keepNext/>
        <w:pBdr>
          <w:bottom w:val="single" w:sz="12" w:space="1" w:color="auto"/>
        </w:pBdr>
        <w:spacing w:after="240"/>
      </w:pPr>
      <w:bookmarkStart w:id="79" w:name="_Toc381354135"/>
      <w:bookmarkStart w:id="80" w:name="_Toc445739579"/>
      <w:r w:rsidRPr="001C41B2">
        <w:t>STOCK OWNERSHIP INFORMATION</w:t>
      </w:r>
      <w:bookmarkEnd w:id="79"/>
      <w:bookmarkEnd w:id="80"/>
    </w:p>
    <w:p w:rsidR="0080054A" w:rsidRDefault="00DC60A2" w:rsidP="00890B3A">
      <w:pPr>
        <w:keepNext/>
        <w:widowControl/>
        <w:spacing w:after="60"/>
        <w:jc w:val="left"/>
      </w:pPr>
      <w:bookmarkStart w:id="81" w:name="_Toc381354136"/>
      <w:bookmarkStart w:id="82" w:name="_Toc445739580"/>
      <w:r w:rsidRPr="003628D8">
        <w:rPr>
          <w:rStyle w:val="002ProxyChar"/>
        </w:rPr>
        <w:t>Security Ownership of Certain Beneficial Owners and Management</w:t>
      </w:r>
      <w:bookmarkEnd w:id="81"/>
      <w:bookmarkEnd w:id="82"/>
      <w:r>
        <w:t>.</w:t>
      </w:r>
      <w:r w:rsidR="00B47ACE">
        <w:t xml:space="preserve">  The following table sets forth certain information at March </w:t>
      </w:r>
      <w:r w:rsidR="002977C9">
        <w:t>14</w:t>
      </w:r>
      <w:r w:rsidR="00B47ACE">
        <w:t>, 201</w:t>
      </w:r>
      <w:r w:rsidR="00217BAD">
        <w:t>6</w:t>
      </w:r>
      <w:r w:rsidR="00B47ACE">
        <w:t xml:space="preserve"> about the beneficial ownership of share</w:t>
      </w:r>
      <w:r w:rsidR="0080054A">
        <w:t>s of the Company's common stock</w:t>
      </w:r>
      <w:r w:rsidR="001827E8">
        <w:t xml:space="preserve">, its only </w:t>
      </w:r>
      <w:r w:rsidR="0080054A">
        <w:t xml:space="preserve">class of equity securities outstanding.  </w:t>
      </w:r>
      <w:r w:rsidR="00D12FAF">
        <w:t>The information given relates to the follo</w:t>
      </w:r>
      <w:r w:rsidR="00F14ABD">
        <w:t>wing categories of stockholders:</w:t>
      </w:r>
      <w:r w:rsidR="00D12FAF">
        <w:t xml:space="preserve">  </w:t>
      </w:r>
    </w:p>
    <w:p w:rsidR="0080054A" w:rsidRDefault="00B666C0" w:rsidP="00890B3A">
      <w:pPr>
        <w:pStyle w:val="ListParagraph"/>
        <w:widowControl/>
        <w:numPr>
          <w:ilvl w:val="0"/>
          <w:numId w:val="17"/>
        </w:numPr>
        <w:spacing w:after="60"/>
        <w:contextualSpacing w:val="0"/>
        <w:jc w:val="left"/>
      </w:pPr>
      <w:r>
        <w:t>E</w:t>
      </w:r>
      <w:r w:rsidR="00B47ACE">
        <w:t>ach person or entity known to the Company to own beneficially more than 5% of the outstanding shares of common stock</w:t>
      </w:r>
      <w:r w:rsidR="004F79B9">
        <w:t>.</w:t>
      </w:r>
    </w:p>
    <w:p w:rsidR="0080054A" w:rsidRDefault="00B666C0" w:rsidP="00890B3A">
      <w:pPr>
        <w:pStyle w:val="ListParagraph"/>
        <w:widowControl/>
        <w:numPr>
          <w:ilvl w:val="0"/>
          <w:numId w:val="17"/>
        </w:numPr>
        <w:spacing w:after="60"/>
        <w:contextualSpacing w:val="0"/>
        <w:jc w:val="left"/>
      </w:pPr>
      <w:r>
        <w:t>E</w:t>
      </w:r>
      <w:r w:rsidR="00B47ACE">
        <w:t xml:space="preserve">ach nominee and </w:t>
      </w:r>
      <w:r w:rsidR="00351FD3">
        <w:t>continuing</w:t>
      </w:r>
      <w:r w:rsidR="00B47ACE">
        <w:t xml:space="preserve"> director</w:t>
      </w:r>
      <w:r w:rsidR="004F79B9">
        <w:t>.</w:t>
      </w:r>
    </w:p>
    <w:p w:rsidR="00B666C0" w:rsidRDefault="00B666C0" w:rsidP="00890B3A">
      <w:pPr>
        <w:pStyle w:val="ListParagraph"/>
        <w:widowControl/>
        <w:numPr>
          <w:ilvl w:val="0"/>
          <w:numId w:val="17"/>
        </w:numPr>
        <w:spacing w:after="60"/>
        <w:contextualSpacing w:val="0"/>
        <w:jc w:val="left"/>
      </w:pPr>
      <w:r>
        <w:lastRenderedPageBreak/>
        <w:t>E</w:t>
      </w:r>
      <w:r w:rsidR="00B47ACE">
        <w:t xml:space="preserve">ach executive officer named below in the </w:t>
      </w:r>
      <w:r w:rsidR="00B47ACE" w:rsidRPr="0080054A">
        <w:rPr>
          <w:i/>
        </w:rPr>
        <w:t>Summary Compensation Table for 201</w:t>
      </w:r>
      <w:r w:rsidR="000B7D73">
        <w:rPr>
          <w:i/>
        </w:rPr>
        <w:t>5</w:t>
      </w:r>
      <w:r w:rsidR="00B47ACE">
        <w:t xml:space="preserve"> under the heading </w:t>
      </w:r>
      <w:r w:rsidR="00B47ACE" w:rsidRPr="0080054A">
        <w:rPr>
          <w:i/>
        </w:rPr>
        <w:t>Executive Compensation</w:t>
      </w:r>
      <w:r w:rsidR="004F79B9">
        <w:rPr>
          <w:i/>
        </w:rPr>
        <w:t>.</w:t>
      </w:r>
    </w:p>
    <w:p w:rsidR="0080054A" w:rsidRDefault="00B666C0" w:rsidP="00890B3A">
      <w:pPr>
        <w:pStyle w:val="ListParagraph"/>
        <w:widowControl/>
        <w:numPr>
          <w:ilvl w:val="0"/>
          <w:numId w:val="17"/>
        </w:numPr>
        <w:spacing w:after="60"/>
        <w:contextualSpacing w:val="0"/>
        <w:jc w:val="left"/>
      </w:pPr>
      <w:r>
        <w:t>A</w:t>
      </w:r>
      <w:r w:rsidR="00B47ACE">
        <w:t xml:space="preserve">ll </w:t>
      </w:r>
      <w:r w:rsidR="001F058C">
        <w:t xml:space="preserve">current </w:t>
      </w:r>
      <w:r w:rsidR="00B47ACE">
        <w:t>directors and executive office</w:t>
      </w:r>
      <w:r w:rsidR="0080054A">
        <w:t xml:space="preserve">rs as a group.  </w:t>
      </w:r>
    </w:p>
    <w:p w:rsidR="00B47ACE" w:rsidRDefault="00B47ACE" w:rsidP="00890B3A">
      <w:pPr>
        <w:widowControl/>
        <w:spacing w:after="60"/>
        <w:jc w:val="left"/>
      </w:pPr>
      <w:r>
        <w:t xml:space="preserve">Based on information furnished by the beneficial owners, the Company believes </w:t>
      </w:r>
      <w:r w:rsidR="00D12FAF">
        <w:t>that the</w:t>
      </w:r>
      <w:r>
        <w:t xml:space="preserve"> owners </w:t>
      </w:r>
      <w:r w:rsidR="00D12FAF">
        <w:t xml:space="preserve">listed </w:t>
      </w:r>
      <w:r>
        <w:t xml:space="preserve">have sole investment and </w:t>
      </w:r>
      <w:r w:rsidR="00B666C0">
        <w:t xml:space="preserve">sole </w:t>
      </w:r>
      <w:r>
        <w:t xml:space="preserve">voting power over the shares of common stock shown as beneficially owned by them, except as stated otherwise in the footnotes to the table.  </w:t>
      </w:r>
    </w:p>
    <w:p w:rsidR="00B47ACE" w:rsidRDefault="00B47ACE" w:rsidP="00890B3A">
      <w:pPr>
        <w:widowControl/>
        <w:spacing w:after="60"/>
        <w:jc w:val="left"/>
      </w:pPr>
      <w:r>
        <w:t xml:space="preserve">Rule </w:t>
      </w:r>
      <w:proofErr w:type="spellStart"/>
      <w:r>
        <w:t>13d</w:t>
      </w:r>
      <w:proofErr w:type="spellEnd"/>
      <w:r>
        <w:t xml:space="preserve">-3(d)(1) of the Securities Exchange Act of 1934 requires that the percentages listed in the following table assume for each person or group the acquisition of all shares that the person or group can acquire within sixty days of </w:t>
      </w:r>
      <w:r w:rsidR="00B666C0">
        <w:t>a recent date</w:t>
      </w:r>
      <w:r w:rsidR="00003E5A">
        <w:t>,</w:t>
      </w:r>
      <w:r w:rsidR="00B666C0">
        <w:t xml:space="preserve"> </w:t>
      </w:r>
      <w:r>
        <w:t>for instance by the exercise of a stock option</w:t>
      </w:r>
      <w:r w:rsidR="00B666C0">
        <w:t>,</w:t>
      </w:r>
      <w:r>
        <w:t xml:space="preserve"> but not the acquisition of the shares that can be acquired in that period by any other person or group listed.</w:t>
      </w:r>
      <w:r w:rsidR="00107251">
        <w:t xml:space="preserve">  </w:t>
      </w:r>
      <w:r w:rsidR="00D0582B">
        <w:t xml:space="preserve">However, </w:t>
      </w:r>
      <w:r w:rsidR="004F79B9">
        <w:t xml:space="preserve">none of the entities listed below have indicated </w:t>
      </w:r>
      <w:r w:rsidR="0066068E">
        <w:t xml:space="preserve">that they have </w:t>
      </w:r>
      <w:r w:rsidR="004F79B9">
        <w:t>any rights to acquire additional shares of common stock in the future</w:t>
      </w:r>
      <w:r w:rsidR="004D074A">
        <w:t xml:space="preserve">.  In addition, </w:t>
      </w:r>
      <w:r w:rsidR="00D12FAF">
        <w:t xml:space="preserve">none of the </w:t>
      </w:r>
      <w:r w:rsidR="00107251">
        <w:t>Company</w:t>
      </w:r>
      <w:r w:rsidR="0066068E">
        <w:t xml:space="preserve">'s </w:t>
      </w:r>
      <w:r w:rsidR="00C154FE">
        <w:t xml:space="preserve">directors or </w:t>
      </w:r>
      <w:r w:rsidR="0066068E">
        <w:t xml:space="preserve">executive officers </w:t>
      </w:r>
      <w:r w:rsidR="00D12FAF">
        <w:t xml:space="preserve">holds any </w:t>
      </w:r>
      <w:r w:rsidR="00107251">
        <w:t>stock options</w:t>
      </w:r>
      <w:r w:rsidR="004D074A">
        <w:t xml:space="preserve"> or other rights</w:t>
      </w:r>
      <w:r w:rsidR="00D0582B">
        <w:t xml:space="preserve"> to acquire </w:t>
      </w:r>
      <w:r w:rsidR="0066068E">
        <w:t xml:space="preserve">shares of </w:t>
      </w:r>
      <w:r w:rsidR="00C154FE">
        <w:t xml:space="preserve">the Company's </w:t>
      </w:r>
      <w:r w:rsidR="00D0582B">
        <w:t>common stock.</w:t>
      </w:r>
      <w:r w:rsidR="00003E5A">
        <w:t xml:space="preserve"> </w:t>
      </w:r>
      <w:r w:rsidR="00ED191D">
        <w:t xml:space="preserve"> </w:t>
      </w:r>
    </w:p>
    <w:p w:rsidR="00DC60A2" w:rsidRDefault="00B47ACE" w:rsidP="005F5866">
      <w:pPr>
        <w:widowControl/>
        <w:jc w:val="left"/>
      </w:pPr>
      <w:r>
        <w:t xml:space="preserve">Except </w:t>
      </w:r>
      <w:r w:rsidR="00477A8A">
        <w:t xml:space="preserve">as otherwise indicated, </w:t>
      </w:r>
      <w:r>
        <w:t xml:space="preserve">the address of each beneficial owner is the address of the Company.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270"/>
        <w:gridCol w:w="1094"/>
      </w:tblGrid>
      <w:tr w:rsidR="00231E72" w:rsidRPr="000B4525" w:rsidTr="001F058C">
        <w:trPr>
          <w:cantSplit/>
          <w:tblHeader/>
          <w:jc w:val="center"/>
        </w:trPr>
        <w:tc>
          <w:tcPr>
            <w:tcW w:w="3085" w:type="dxa"/>
            <w:tcBorders>
              <w:bottom w:val="single" w:sz="4" w:space="0" w:color="auto"/>
            </w:tcBorders>
            <w:tcMar>
              <w:top w:w="58" w:type="dxa"/>
              <w:left w:w="115" w:type="dxa"/>
              <w:bottom w:w="0" w:type="dxa"/>
              <w:right w:w="115" w:type="dxa"/>
            </w:tcMar>
            <w:vAlign w:val="bottom"/>
          </w:tcPr>
          <w:p w:rsidR="00231E72" w:rsidRPr="000B4525" w:rsidRDefault="00231E72" w:rsidP="00DD49FC">
            <w:pPr>
              <w:keepNext/>
              <w:widowControl/>
              <w:spacing w:after="0"/>
              <w:jc w:val="left"/>
              <w:rPr>
                <w:b/>
                <w:sz w:val="22"/>
                <w:szCs w:val="22"/>
              </w:rPr>
            </w:pPr>
            <w:r w:rsidRPr="000B4525">
              <w:rPr>
                <w:b/>
                <w:sz w:val="22"/>
                <w:szCs w:val="22"/>
              </w:rPr>
              <w:t>Name and Address</w:t>
            </w:r>
          </w:p>
          <w:p w:rsidR="00231E72" w:rsidRPr="000B4525" w:rsidRDefault="00231E72" w:rsidP="00DD49FC">
            <w:pPr>
              <w:keepNext/>
              <w:widowControl/>
              <w:spacing w:after="0"/>
              <w:jc w:val="left"/>
              <w:rPr>
                <w:b/>
                <w:sz w:val="22"/>
                <w:szCs w:val="22"/>
              </w:rPr>
            </w:pPr>
            <w:r w:rsidRPr="000B4525">
              <w:rPr>
                <w:b/>
                <w:sz w:val="22"/>
                <w:szCs w:val="22"/>
              </w:rPr>
              <w:t>of Beneficial Owner</w:t>
            </w:r>
          </w:p>
        </w:tc>
        <w:tc>
          <w:tcPr>
            <w:tcW w:w="1270" w:type="dxa"/>
            <w:tcBorders>
              <w:bottom w:val="single" w:sz="4" w:space="0" w:color="auto"/>
            </w:tcBorders>
            <w:tcMar>
              <w:top w:w="58" w:type="dxa"/>
              <w:left w:w="115" w:type="dxa"/>
              <w:bottom w:w="0" w:type="dxa"/>
              <w:right w:w="115" w:type="dxa"/>
            </w:tcMar>
            <w:vAlign w:val="bottom"/>
          </w:tcPr>
          <w:p w:rsidR="00231E72" w:rsidRPr="000B4525" w:rsidRDefault="00231E72" w:rsidP="00DD49FC">
            <w:pPr>
              <w:keepNext/>
              <w:widowControl/>
              <w:spacing w:after="0"/>
              <w:jc w:val="center"/>
              <w:rPr>
                <w:b/>
                <w:sz w:val="22"/>
                <w:szCs w:val="22"/>
              </w:rPr>
            </w:pPr>
            <w:r w:rsidRPr="000B4525">
              <w:rPr>
                <w:b/>
                <w:sz w:val="22"/>
                <w:szCs w:val="22"/>
              </w:rPr>
              <w:t>Total Beneficial</w:t>
            </w:r>
          </w:p>
          <w:p w:rsidR="00231E72" w:rsidRPr="000B4525" w:rsidRDefault="00231E72" w:rsidP="00DD49FC">
            <w:pPr>
              <w:keepNext/>
              <w:widowControl/>
              <w:spacing w:after="0"/>
              <w:jc w:val="center"/>
              <w:rPr>
                <w:b/>
                <w:sz w:val="22"/>
                <w:szCs w:val="22"/>
              </w:rPr>
            </w:pPr>
            <w:r w:rsidRPr="000B4525">
              <w:rPr>
                <w:b/>
                <w:sz w:val="22"/>
                <w:szCs w:val="22"/>
              </w:rPr>
              <w:t>Ownership</w:t>
            </w:r>
          </w:p>
        </w:tc>
        <w:tc>
          <w:tcPr>
            <w:tcW w:w="1094" w:type="dxa"/>
            <w:tcBorders>
              <w:bottom w:val="single" w:sz="4" w:space="0" w:color="auto"/>
            </w:tcBorders>
            <w:tcMar>
              <w:top w:w="58" w:type="dxa"/>
              <w:left w:w="115" w:type="dxa"/>
              <w:bottom w:w="0" w:type="dxa"/>
              <w:right w:w="115" w:type="dxa"/>
            </w:tcMar>
            <w:vAlign w:val="bottom"/>
          </w:tcPr>
          <w:p w:rsidR="00231E72" w:rsidRPr="000B4525" w:rsidRDefault="00231E72" w:rsidP="00DD49FC">
            <w:pPr>
              <w:keepNext/>
              <w:widowControl/>
              <w:spacing w:after="0"/>
              <w:jc w:val="center"/>
              <w:rPr>
                <w:b/>
                <w:sz w:val="22"/>
                <w:szCs w:val="22"/>
              </w:rPr>
            </w:pPr>
            <w:r w:rsidRPr="000B4525">
              <w:rPr>
                <w:b/>
                <w:sz w:val="22"/>
                <w:szCs w:val="22"/>
              </w:rPr>
              <w:t>Percent</w:t>
            </w:r>
          </w:p>
          <w:p w:rsidR="00231E72" w:rsidRPr="000B4525" w:rsidRDefault="00231E72" w:rsidP="00DD49FC">
            <w:pPr>
              <w:keepNext/>
              <w:widowControl/>
              <w:spacing w:after="0"/>
              <w:jc w:val="center"/>
              <w:rPr>
                <w:b/>
                <w:sz w:val="22"/>
                <w:szCs w:val="22"/>
              </w:rPr>
            </w:pPr>
            <w:r w:rsidRPr="000B4525">
              <w:rPr>
                <w:b/>
                <w:sz w:val="22"/>
                <w:szCs w:val="22"/>
              </w:rPr>
              <w:t>of Class</w:t>
            </w:r>
          </w:p>
        </w:tc>
      </w:tr>
      <w:tr w:rsidR="00231E72" w:rsidRPr="000B4525" w:rsidTr="001F058C">
        <w:trPr>
          <w:jc w:val="center"/>
        </w:trPr>
        <w:tc>
          <w:tcPr>
            <w:tcW w:w="3085"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180CAB" w:rsidRDefault="00231E72" w:rsidP="00075F08">
            <w:pPr>
              <w:widowControl/>
              <w:spacing w:after="0"/>
              <w:jc w:val="left"/>
              <w:rPr>
                <w:sz w:val="22"/>
                <w:szCs w:val="22"/>
              </w:rPr>
            </w:pPr>
            <w:proofErr w:type="spellStart"/>
            <w:r w:rsidRPr="00180CAB">
              <w:rPr>
                <w:sz w:val="22"/>
                <w:szCs w:val="22"/>
              </w:rPr>
              <w:t>FMR</w:t>
            </w:r>
            <w:proofErr w:type="spellEnd"/>
            <w:r w:rsidRPr="00180CAB">
              <w:rPr>
                <w:sz w:val="22"/>
                <w:szCs w:val="22"/>
              </w:rPr>
              <w:t xml:space="preserve"> LLC </w:t>
            </w:r>
            <w:r w:rsidRPr="00180CAB">
              <w:rPr>
                <w:sz w:val="22"/>
                <w:szCs w:val="22"/>
                <w:vertAlign w:val="superscript"/>
              </w:rPr>
              <w:t>(</w:t>
            </w:r>
            <w:r w:rsidR="001F6EB0" w:rsidRPr="00180CAB">
              <w:rPr>
                <w:sz w:val="22"/>
                <w:szCs w:val="22"/>
                <w:vertAlign w:val="superscript"/>
              </w:rPr>
              <w:t>1</w:t>
            </w:r>
            <w:r w:rsidRPr="00180CAB">
              <w:rPr>
                <w:sz w:val="22"/>
                <w:szCs w:val="22"/>
                <w:vertAlign w:val="superscript"/>
              </w:rPr>
              <w:t>)</w:t>
            </w:r>
          </w:p>
          <w:p w:rsidR="00231E72" w:rsidRPr="00180CAB" w:rsidRDefault="00EA48B9" w:rsidP="00075F08">
            <w:pPr>
              <w:widowControl/>
              <w:spacing w:after="0"/>
              <w:jc w:val="left"/>
              <w:rPr>
                <w:sz w:val="22"/>
                <w:szCs w:val="22"/>
              </w:rPr>
            </w:pPr>
            <w:r w:rsidRPr="00180CAB">
              <w:rPr>
                <w:sz w:val="22"/>
                <w:szCs w:val="22"/>
              </w:rPr>
              <w:t>245 Summer Street, Boston, Massachusetts 02210</w:t>
            </w:r>
          </w:p>
        </w:tc>
        <w:tc>
          <w:tcPr>
            <w:tcW w:w="1270"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180CAB" w:rsidRDefault="00EA48B9" w:rsidP="00F2792F">
            <w:pPr>
              <w:tabs>
                <w:tab w:val="right" w:pos="971"/>
              </w:tabs>
              <w:spacing w:before="60" w:after="0"/>
              <w:jc w:val="center"/>
              <w:rPr>
                <w:sz w:val="22"/>
                <w:szCs w:val="22"/>
              </w:rPr>
            </w:pPr>
            <w:r w:rsidRPr="00180CAB">
              <w:rPr>
                <w:sz w:val="22"/>
                <w:szCs w:val="22"/>
              </w:rPr>
              <w:t>1,906,200</w:t>
            </w:r>
          </w:p>
        </w:tc>
        <w:tc>
          <w:tcPr>
            <w:tcW w:w="1094" w:type="dxa"/>
            <w:tcBorders>
              <w:top w:val="single" w:sz="4" w:space="0" w:color="auto"/>
            </w:tcBorders>
            <w:shd w:val="clear" w:color="auto" w:fill="C6D9F1" w:themeFill="text2" w:themeFillTint="33"/>
            <w:tcMar>
              <w:top w:w="58" w:type="dxa"/>
              <w:left w:w="115" w:type="dxa"/>
              <w:bottom w:w="58" w:type="dxa"/>
              <w:right w:w="115" w:type="dxa"/>
            </w:tcMar>
            <w:vAlign w:val="bottom"/>
          </w:tcPr>
          <w:p w:rsidR="00231E72" w:rsidRPr="000B4525" w:rsidRDefault="00A55237" w:rsidP="00C23C44">
            <w:pPr>
              <w:spacing w:before="60" w:after="0"/>
              <w:jc w:val="center"/>
              <w:rPr>
                <w:sz w:val="22"/>
                <w:szCs w:val="22"/>
              </w:rPr>
            </w:pPr>
            <w:r w:rsidRPr="005F0E14">
              <w:rPr>
                <w:sz w:val="22"/>
                <w:szCs w:val="22"/>
              </w:rPr>
              <w:t>9.64</w:t>
            </w:r>
            <w:r w:rsidR="007D3778" w:rsidRPr="000B4525">
              <w:rPr>
                <w:sz w:val="22"/>
                <w:szCs w:val="22"/>
              </w:rPr>
              <w:t>%</w:t>
            </w:r>
          </w:p>
        </w:tc>
      </w:tr>
      <w:tr w:rsidR="002000FD" w:rsidRPr="000B4525" w:rsidTr="001F058C">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Marian M. Davenport </w:t>
            </w:r>
            <w:r w:rsidRPr="00180CAB">
              <w:rPr>
                <w:sz w:val="22"/>
                <w:szCs w:val="22"/>
                <w:vertAlign w:val="superscript"/>
              </w:rPr>
              <w:t>(</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180CAB" w:rsidRDefault="002000FD" w:rsidP="00217BAD">
            <w:pPr>
              <w:widowControl/>
              <w:tabs>
                <w:tab w:val="right" w:pos="968"/>
              </w:tabs>
              <w:spacing w:after="0"/>
              <w:jc w:val="left"/>
              <w:rPr>
                <w:sz w:val="22"/>
                <w:szCs w:val="22"/>
              </w:rPr>
            </w:pPr>
            <w:r w:rsidRPr="00180CAB">
              <w:rPr>
                <w:sz w:val="22"/>
                <w:szCs w:val="22"/>
              </w:rPr>
              <w:tab/>
            </w:r>
            <w:r w:rsidR="00217BAD" w:rsidRPr="00180CAB">
              <w:rPr>
                <w:sz w:val="22"/>
                <w:szCs w:val="22"/>
              </w:rPr>
              <w:t>18,338</w:t>
            </w:r>
          </w:p>
        </w:tc>
        <w:tc>
          <w:tcPr>
            <w:tcW w:w="1094" w:type="dxa"/>
            <w:shd w:val="clear" w:color="auto" w:fill="FFFFFF" w:themeFill="background1"/>
            <w:tcMar>
              <w:top w:w="58" w:type="dxa"/>
              <w:left w:w="115" w:type="dxa"/>
              <w:bottom w:w="58" w:type="dxa"/>
              <w:right w:w="115" w:type="dxa"/>
            </w:tcMar>
            <w:vAlign w:val="center"/>
          </w:tcPr>
          <w:p w:rsidR="002000FD" w:rsidRPr="000B4525" w:rsidRDefault="002000FD" w:rsidP="00AA5859">
            <w:pPr>
              <w:spacing w:after="0"/>
              <w:jc w:val="center"/>
              <w:rPr>
                <w:sz w:val="22"/>
                <w:szCs w:val="22"/>
              </w:rPr>
            </w:pPr>
            <w:r w:rsidRPr="000B4525">
              <w:rPr>
                <w:sz w:val="22"/>
                <w:szCs w:val="22"/>
              </w:rPr>
              <w:t>†</w:t>
            </w:r>
          </w:p>
        </w:tc>
      </w:tr>
      <w:tr w:rsidR="002000FD" w:rsidRPr="000B4525" w:rsidTr="001F058C">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Maarten D. Hemsley </w:t>
            </w:r>
            <w:r w:rsidRPr="00180CAB">
              <w:rPr>
                <w:sz w:val="22"/>
                <w:szCs w:val="22"/>
                <w:vertAlign w:val="superscript"/>
              </w:rPr>
              <w:t>(</w:t>
            </w:r>
            <w:r w:rsidR="000B4525" w:rsidRPr="00180CAB">
              <w:rPr>
                <w:sz w:val="22"/>
                <w:szCs w:val="22"/>
                <w:vertAlign w:val="superscript"/>
              </w:rPr>
              <w:t>2</w:t>
            </w:r>
            <w:r w:rsidRPr="00180CAB">
              <w:rPr>
                <w:sz w:val="22"/>
                <w:szCs w:val="22"/>
                <w:vertAlign w:val="superscript"/>
              </w:rPr>
              <w:t>)(</w:t>
            </w:r>
            <w:r w:rsidR="000B4525" w:rsidRPr="00180CAB">
              <w:rPr>
                <w:sz w:val="22"/>
                <w:szCs w:val="22"/>
                <w:vertAlign w:val="superscript"/>
              </w:rPr>
              <w:t>3</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180CAB" w:rsidRDefault="002000FD" w:rsidP="00217BAD">
            <w:pPr>
              <w:widowControl/>
              <w:tabs>
                <w:tab w:val="right" w:pos="968"/>
              </w:tabs>
              <w:spacing w:after="0"/>
              <w:jc w:val="left"/>
              <w:rPr>
                <w:sz w:val="22"/>
                <w:szCs w:val="22"/>
              </w:rPr>
            </w:pPr>
            <w:r w:rsidRPr="00180CAB">
              <w:rPr>
                <w:sz w:val="22"/>
                <w:szCs w:val="22"/>
              </w:rPr>
              <w:tab/>
            </w:r>
            <w:r w:rsidR="00217BAD" w:rsidRPr="00180CAB">
              <w:rPr>
                <w:sz w:val="22"/>
                <w:szCs w:val="22"/>
              </w:rPr>
              <w:t>194,121</w:t>
            </w:r>
          </w:p>
        </w:tc>
        <w:tc>
          <w:tcPr>
            <w:tcW w:w="1094" w:type="dxa"/>
            <w:shd w:val="clear" w:color="auto" w:fill="C6D9F1" w:themeFill="text2" w:themeFillTint="33"/>
            <w:tcMar>
              <w:top w:w="58" w:type="dxa"/>
              <w:left w:w="115" w:type="dxa"/>
              <w:bottom w:w="58" w:type="dxa"/>
              <w:right w:w="115" w:type="dxa"/>
            </w:tcMar>
            <w:vAlign w:val="center"/>
          </w:tcPr>
          <w:p w:rsidR="002000FD" w:rsidRPr="000B4525" w:rsidRDefault="002000FD" w:rsidP="001F23A7">
            <w:pPr>
              <w:spacing w:after="0"/>
              <w:jc w:val="center"/>
              <w:rPr>
                <w:sz w:val="22"/>
                <w:szCs w:val="22"/>
              </w:rPr>
            </w:pPr>
            <w:r w:rsidRPr="000B4525">
              <w:rPr>
                <w:sz w:val="22"/>
                <w:szCs w:val="22"/>
              </w:rPr>
              <w:t>†</w:t>
            </w:r>
          </w:p>
        </w:tc>
      </w:tr>
      <w:tr w:rsidR="002000FD" w:rsidRPr="000B4525" w:rsidTr="001F058C">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075F08">
            <w:pPr>
              <w:spacing w:after="0"/>
              <w:jc w:val="left"/>
              <w:rPr>
                <w:sz w:val="22"/>
                <w:szCs w:val="22"/>
              </w:rPr>
            </w:pPr>
            <w:r w:rsidRPr="00180CAB">
              <w:rPr>
                <w:sz w:val="22"/>
                <w:szCs w:val="22"/>
              </w:rPr>
              <w:t xml:space="preserve">Charles R. Patton </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180CAB" w:rsidRDefault="002000FD" w:rsidP="00217BAD">
            <w:pPr>
              <w:widowControl/>
              <w:tabs>
                <w:tab w:val="right" w:pos="968"/>
              </w:tabs>
              <w:spacing w:after="0"/>
              <w:jc w:val="left"/>
              <w:rPr>
                <w:sz w:val="22"/>
                <w:szCs w:val="22"/>
              </w:rPr>
            </w:pPr>
            <w:r w:rsidRPr="00180CAB">
              <w:rPr>
                <w:sz w:val="22"/>
                <w:szCs w:val="22"/>
              </w:rPr>
              <w:tab/>
            </w:r>
            <w:r w:rsidR="00217BAD" w:rsidRPr="00180CAB">
              <w:rPr>
                <w:sz w:val="22"/>
                <w:szCs w:val="22"/>
              </w:rPr>
              <w:t>23,313</w:t>
            </w:r>
          </w:p>
        </w:tc>
        <w:tc>
          <w:tcPr>
            <w:tcW w:w="1094" w:type="dxa"/>
            <w:shd w:val="clear" w:color="auto" w:fill="FFFFFF" w:themeFill="background1"/>
            <w:tcMar>
              <w:top w:w="58" w:type="dxa"/>
              <w:left w:w="115" w:type="dxa"/>
              <w:bottom w:w="58" w:type="dxa"/>
              <w:right w:w="115" w:type="dxa"/>
            </w:tcMar>
            <w:vAlign w:val="center"/>
          </w:tcPr>
          <w:p w:rsidR="002000FD" w:rsidRPr="000B4525" w:rsidRDefault="002000FD" w:rsidP="00AA5859">
            <w:pPr>
              <w:spacing w:after="0"/>
              <w:jc w:val="center"/>
              <w:rPr>
                <w:sz w:val="22"/>
                <w:szCs w:val="22"/>
              </w:rPr>
            </w:pPr>
            <w:r w:rsidRPr="000B4525">
              <w:rPr>
                <w:sz w:val="22"/>
                <w:szCs w:val="22"/>
              </w:rPr>
              <w:t>†</w:t>
            </w:r>
          </w:p>
        </w:tc>
      </w:tr>
      <w:tr w:rsidR="002000FD" w:rsidRPr="000B4525" w:rsidTr="001F058C">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BE2DA7">
            <w:pPr>
              <w:spacing w:after="0"/>
              <w:jc w:val="left"/>
              <w:rPr>
                <w:sz w:val="22"/>
                <w:szCs w:val="22"/>
              </w:rPr>
            </w:pPr>
            <w:r w:rsidRPr="00180CAB">
              <w:rPr>
                <w:sz w:val="22"/>
                <w:szCs w:val="22"/>
              </w:rPr>
              <w:t xml:space="preserve">Richard O. Schaum </w:t>
            </w:r>
            <w:r w:rsidR="000B4525" w:rsidRPr="00180CAB">
              <w:rPr>
                <w:sz w:val="22"/>
                <w:szCs w:val="22"/>
                <w:vertAlign w:val="superscript"/>
              </w:rPr>
              <w:t>(2</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180CAB" w:rsidRDefault="002000FD" w:rsidP="00217BAD">
            <w:pPr>
              <w:widowControl/>
              <w:tabs>
                <w:tab w:val="right" w:pos="968"/>
              </w:tabs>
              <w:spacing w:after="0"/>
              <w:jc w:val="left"/>
              <w:rPr>
                <w:sz w:val="22"/>
                <w:szCs w:val="22"/>
              </w:rPr>
            </w:pPr>
            <w:r w:rsidRPr="00180CAB">
              <w:rPr>
                <w:sz w:val="22"/>
                <w:szCs w:val="22"/>
              </w:rPr>
              <w:tab/>
            </w:r>
            <w:r w:rsidR="00217BAD" w:rsidRPr="00180CAB">
              <w:rPr>
                <w:sz w:val="22"/>
                <w:szCs w:val="22"/>
              </w:rPr>
              <w:t>35,033</w:t>
            </w:r>
          </w:p>
        </w:tc>
        <w:tc>
          <w:tcPr>
            <w:tcW w:w="1094" w:type="dxa"/>
            <w:shd w:val="clear" w:color="auto" w:fill="C6D9F1" w:themeFill="text2" w:themeFillTint="33"/>
            <w:tcMar>
              <w:top w:w="58" w:type="dxa"/>
              <w:left w:w="115" w:type="dxa"/>
              <w:bottom w:w="58" w:type="dxa"/>
              <w:right w:w="115" w:type="dxa"/>
            </w:tcMar>
            <w:vAlign w:val="center"/>
          </w:tcPr>
          <w:p w:rsidR="002000FD" w:rsidRPr="000B4525" w:rsidRDefault="002000FD" w:rsidP="00B666C0">
            <w:pPr>
              <w:spacing w:after="0"/>
              <w:jc w:val="center"/>
              <w:rPr>
                <w:sz w:val="22"/>
                <w:szCs w:val="22"/>
              </w:rPr>
            </w:pPr>
            <w:r w:rsidRPr="000B4525">
              <w:rPr>
                <w:sz w:val="22"/>
                <w:szCs w:val="22"/>
              </w:rPr>
              <w:t>†</w:t>
            </w:r>
          </w:p>
        </w:tc>
      </w:tr>
      <w:tr w:rsidR="002000FD" w:rsidRPr="000B4525" w:rsidTr="001F058C">
        <w:trPr>
          <w:jc w:val="center"/>
        </w:trPr>
        <w:tc>
          <w:tcPr>
            <w:tcW w:w="3085" w:type="dxa"/>
            <w:shd w:val="clear" w:color="auto" w:fill="FFFFFF" w:themeFill="background1"/>
            <w:tcMar>
              <w:top w:w="58" w:type="dxa"/>
              <w:left w:w="115" w:type="dxa"/>
              <w:bottom w:w="58" w:type="dxa"/>
              <w:right w:w="115" w:type="dxa"/>
            </w:tcMar>
            <w:vAlign w:val="center"/>
          </w:tcPr>
          <w:p w:rsidR="002000FD" w:rsidRPr="00180CAB" w:rsidRDefault="002000FD" w:rsidP="00075F08">
            <w:pPr>
              <w:spacing w:after="0"/>
              <w:jc w:val="left"/>
              <w:rPr>
                <w:sz w:val="22"/>
                <w:szCs w:val="22"/>
              </w:rPr>
            </w:pPr>
            <w:r w:rsidRPr="00180CAB">
              <w:rPr>
                <w:sz w:val="22"/>
                <w:szCs w:val="22"/>
              </w:rPr>
              <w:t xml:space="preserve">Milton L. Scott </w:t>
            </w:r>
            <w:r w:rsidR="000B4525" w:rsidRPr="00180CAB">
              <w:rPr>
                <w:sz w:val="22"/>
                <w:szCs w:val="22"/>
                <w:vertAlign w:val="superscript"/>
              </w:rPr>
              <w:t>(2</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2000FD" w:rsidRPr="00180CAB" w:rsidRDefault="002000FD" w:rsidP="00217BAD">
            <w:pPr>
              <w:widowControl/>
              <w:tabs>
                <w:tab w:val="right" w:pos="968"/>
              </w:tabs>
              <w:spacing w:after="0"/>
              <w:jc w:val="left"/>
              <w:rPr>
                <w:sz w:val="22"/>
                <w:szCs w:val="22"/>
              </w:rPr>
            </w:pPr>
            <w:r w:rsidRPr="00180CAB">
              <w:rPr>
                <w:sz w:val="22"/>
                <w:szCs w:val="22"/>
              </w:rPr>
              <w:tab/>
            </w:r>
            <w:r w:rsidR="00217BAD" w:rsidRPr="00180CAB">
              <w:rPr>
                <w:sz w:val="22"/>
                <w:szCs w:val="22"/>
              </w:rPr>
              <w:t>43,202</w:t>
            </w:r>
          </w:p>
        </w:tc>
        <w:tc>
          <w:tcPr>
            <w:tcW w:w="1094" w:type="dxa"/>
            <w:shd w:val="clear" w:color="auto" w:fill="FFFFFF" w:themeFill="background1"/>
            <w:tcMar>
              <w:top w:w="58" w:type="dxa"/>
              <w:left w:w="115" w:type="dxa"/>
              <w:bottom w:w="58" w:type="dxa"/>
              <w:right w:w="115" w:type="dxa"/>
            </w:tcMar>
            <w:vAlign w:val="center"/>
          </w:tcPr>
          <w:p w:rsidR="002000FD" w:rsidRPr="000B4525" w:rsidRDefault="002000FD" w:rsidP="00B666C0">
            <w:pPr>
              <w:spacing w:after="0"/>
              <w:jc w:val="center"/>
              <w:rPr>
                <w:sz w:val="22"/>
                <w:szCs w:val="22"/>
              </w:rPr>
            </w:pPr>
            <w:r w:rsidRPr="000B4525">
              <w:rPr>
                <w:sz w:val="22"/>
                <w:szCs w:val="22"/>
              </w:rPr>
              <w:t>†</w:t>
            </w:r>
          </w:p>
        </w:tc>
      </w:tr>
      <w:tr w:rsidR="002000FD" w:rsidRPr="000B4525" w:rsidTr="001F058C">
        <w:trPr>
          <w:jc w:val="center"/>
        </w:trPr>
        <w:tc>
          <w:tcPr>
            <w:tcW w:w="3085" w:type="dxa"/>
            <w:shd w:val="clear" w:color="auto" w:fill="C6D9F1" w:themeFill="text2" w:themeFillTint="33"/>
            <w:tcMar>
              <w:top w:w="58" w:type="dxa"/>
              <w:left w:w="115" w:type="dxa"/>
              <w:bottom w:w="58" w:type="dxa"/>
              <w:right w:w="115" w:type="dxa"/>
            </w:tcMar>
            <w:vAlign w:val="center"/>
          </w:tcPr>
          <w:p w:rsidR="002000FD" w:rsidRPr="00180CAB" w:rsidRDefault="002000FD" w:rsidP="000B7D73">
            <w:pPr>
              <w:spacing w:after="0"/>
              <w:jc w:val="left"/>
              <w:rPr>
                <w:sz w:val="22"/>
                <w:szCs w:val="22"/>
              </w:rPr>
            </w:pPr>
            <w:r w:rsidRPr="00180CAB">
              <w:rPr>
                <w:sz w:val="22"/>
                <w:szCs w:val="22"/>
              </w:rPr>
              <w:t xml:space="preserve">Paul J. Varello </w:t>
            </w:r>
            <w:r w:rsidR="00BE2DA7" w:rsidRPr="00180CAB">
              <w:rPr>
                <w:sz w:val="22"/>
                <w:szCs w:val="22"/>
                <w:vertAlign w:val="superscript"/>
              </w:rPr>
              <w:t>(</w:t>
            </w:r>
            <w:r w:rsidR="000B4525" w:rsidRPr="00180CAB">
              <w:rPr>
                <w:sz w:val="22"/>
                <w:szCs w:val="22"/>
                <w:vertAlign w:val="superscript"/>
              </w:rPr>
              <w:t>4</w:t>
            </w:r>
            <w:r w:rsidRPr="00180CAB">
              <w:rPr>
                <w:sz w:val="22"/>
                <w:szCs w:val="22"/>
                <w:vertAlign w:val="superscript"/>
              </w:rPr>
              <w:t>)</w:t>
            </w:r>
          </w:p>
        </w:tc>
        <w:tc>
          <w:tcPr>
            <w:tcW w:w="1270" w:type="dxa"/>
            <w:shd w:val="clear" w:color="auto" w:fill="C6D9F1" w:themeFill="text2" w:themeFillTint="33"/>
            <w:tcMar>
              <w:top w:w="58" w:type="dxa"/>
              <w:left w:w="115" w:type="dxa"/>
              <w:bottom w:w="58" w:type="dxa"/>
              <w:right w:w="115" w:type="dxa"/>
            </w:tcMar>
            <w:vAlign w:val="center"/>
          </w:tcPr>
          <w:p w:rsidR="002000FD" w:rsidRPr="00180CAB" w:rsidRDefault="002000FD" w:rsidP="00231E72">
            <w:pPr>
              <w:widowControl/>
              <w:tabs>
                <w:tab w:val="right" w:pos="968"/>
              </w:tabs>
              <w:spacing w:after="0"/>
              <w:jc w:val="left"/>
              <w:rPr>
                <w:sz w:val="22"/>
                <w:szCs w:val="22"/>
              </w:rPr>
            </w:pPr>
            <w:r w:rsidRPr="00180CAB">
              <w:rPr>
                <w:sz w:val="22"/>
                <w:szCs w:val="22"/>
              </w:rPr>
              <w:tab/>
            </w:r>
            <w:r w:rsidR="00217BAD" w:rsidRPr="00180CAB">
              <w:rPr>
                <w:sz w:val="22"/>
                <w:szCs w:val="22"/>
              </w:rPr>
              <w:t>6</w:t>
            </w:r>
            <w:r w:rsidRPr="00180CAB">
              <w:rPr>
                <w:sz w:val="22"/>
                <w:szCs w:val="22"/>
              </w:rPr>
              <w:t>12,203</w:t>
            </w:r>
          </w:p>
        </w:tc>
        <w:tc>
          <w:tcPr>
            <w:tcW w:w="1094" w:type="dxa"/>
            <w:shd w:val="clear" w:color="auto" w:fill="C6D9F1" w:themeFill="text2" w:themeFillTint="33"/>
            <w:tcMar>
              <w:top w:w="58" w:type="dxa"/>
              <w:left w:w="115" w:type="dxa"/>
              <w:bottom w:w="58" w:type="dxa"/>
              <w:right w:w="115" w:type="dxa"/>
            </w:tcMar>
            <w:vAlign w:val="center"/>
          </w:tcPr>
          <w:p w:rsidR="002000FD" w:rsidRPr="000B4525" w:rsidRDefault="005D3476" w:rsidP="00987BC7">
            <w:pPr>
              <w:spacing w:after="0"/>
              <w:jc w:val="center"/>
              <w:rPr>
                <w:sz w:val="22"/>
                <w:szCs w:val="22"/>
              </w:rPr>
            </w:pPr>
            <w:r w:rsidRPr="005F0E14">
              <w:rPr>
                <w:sz w:val="22"/>
                <w:szCs w:val="22"/>
              </w:rPr>
              <w:t>3.10</w:t>
            </w:r>
            <w:r>
              <w:rPr>
                <w:sz w:val="22"/>
                <w:szCs w:val="22"/>
              </w:rPr>
              <w:t>%</w:t>
            </w:r>
          </w:p>
        </w:tc>
      </w:tr>
      <w:tr w:rsidR="000B7D73" w:rsidRPr="000B4525" w:rsidTr="001F058C">
        <w:trPr>
          <w:jc w:val="center"/>
        </w:trPr>
        <w:tc>
          <w:tcPr>
            <w:tcW w:w="3085" w:type="dxa"/>
            <w:shd w:val="clear" w:color="auto" w:fill="FFFFFF" w:themeFill="background1"/>
            <w:tcMar>
              <w:top w:w="58" w:type="dxa"/>
              <w:left w:w="115" w:type="dxa"/>
              <w:bottom w:w="58" w:type="dxa"/>
              <w:right w:w="115" w:type="dxa"/>
            </w:tcMar>
            <w:vAlign w:val="center"/>
          </w:tcPr>
          <w:p w:rsidR="000B7D73" w:rsidRPr="00180CAB" w:rsidRDefault="000B7D73" w:rsidP="000B4525">
            <w:pPr>
              <w:spacing w:after="0"/>
              <w:jc w:val="left"/>
              <w:rPr>
                <w:sz w:val="22"/>
                <w:szCs w:val="22"/>
              </w:rPr>
            </w:pPr>
            <w:r w:rsidRPr="00180CAB">
              <w:rPr>
                <w:sz w:val="22"/>
                <w:szCs w:val="22"/>
              </w:rPr>
              <w:t xml:space="preserve">Ronald A. Ballschmiede </w:t>
            </w:r>
            <w:r w:rsidRPr="00180CAB">
              <w:rPr>
                <w:sz w:val="22"/>
                <w:szCs w:val="22"/>
                <w:vertAlign w:val="superscript"/>
              </w:rPr>
              <w:t>(</w:t>
            </w:r>
            <w:r w:rsidR="000B4525" w:rsidRPr="00180CAB">
              <w:rPr>
                <w:sz w:val="22"/>
                <w:szCs w:val="22"/>
                <w:vertAlign w:val="superscript"/>
              </w:rPr>
              <w:t>5</w:t>
            </w:r>
            <w:r w:rsidRPr="00180CAB">
              <w:rPr>
                <w:sz w:val="22"/>
                <w:szCs w:val="22"/>
                <w:vertAlign w:val="superscript"/>
              </w:rPr>
              <w:t>)</w:t>
            </w:r>
          </w:p>
        </w:tc>
        <w:tc>
          <w:tcPr>
            <w:tcW w:w="1270" w:type="dxa"/>
            <w:shd w:val="clear" w:color="auto" w:fill="FFFFFF" w:themeFill="background1"/>
            <w:tcMar>
              <w:top w:w="58" w:type="dxa"/>
              <w:left w:w="115" w:type="dxa"/>
              <w:bottom w:w="58" w:type="dxa"/>
              <w:right w:w="115" w:type="dxa"/>
            </w:tcMar>
            <w:vAlign w:val="center"/>
          </w:tcPr>
          <w:p w:rsidR="000B7D73" w:rsidRPr="00180CAB" w:rsidRDefault="000B7D73" w:rsidP="00AA5859">
            <w:pPr>
              <w:widowControl/>
              <w:tabs>
                <w:tab w:val="right" w:pos="968"/>
              </w:tabs>
              <w:spacing w:after="0"/>
              <w:jc w:val="left"/>
              <w:rPr>
                <w:sz w:val="22"/>
                <w:szCs w:val="22"/>
              </w:rPr>
            </w:pPr>
            <w:r w:rsidRPr="00180CAB">
              <w:rPr>
                <w:sz w:val="22"/>
                <w:szCs w:val="22"/>
              </w:rPr>
              <w:tab/>
              <w:t>100,000</w:t>
            </w:r>
          </w:p>
        </w:tc>
        <w:tc>
          <w:tcPr>
            <w:tcW w:w="1094" w:type="dxa"/>
            <w:shd w:val="clear" w:color="auto" w:fill="FFFFFF" w:themeFill="background1"/>
            <w:tcMar>
              <w:top w:w="58" w:type="dxa"/>
              <w:left w:w="115" w:type="dxa"/>
              <w:bottom w:w="58" w:type="dxa"/>
              <w:right w:w="115" w:type="dxa"/>
            </w:tcMar>
            <w:vAlign w:val="center"/>
          </w:tcPr>
          <w:p w:rsidR="000B7D73" w:rsidRPr="000B4525" w:rsidRDefault="000B4525" w:rsidP="00AA5859">
            <w:pPr>
              <w:spacing w:after="0"/>
              <w:jc w:val="center"/>
              <w:rPr>
                <w:sz w:val="22"/>
                <w:szCs w:val="22"/>
              </w:rPr>
            </w:pPr>
            <w:r w:rsidRPr="000B4525">
              <w:rPr>
                <w:sz w:val="22"/>
                <w:szCs w:val="22"/>
              </w:rPr>
              <w:t>†</w:t>
            </w:r>
          </w:p>
        </w:tc>
      </w:tr>
      <w:tr w:rsidR="000B7D73" w:rsidRPr="000B4525" w:rsidTr="001F058C">
        <w:trPr>
          <w:jc w:val="center"/>
        </w:trPr>
        <w:tc>
          <w:tcPr>
            <w:tcW w:w="3085" w:type="dxa"/>
            <w:shd w:val="clear" w:color="auto" w:fill="C6D9F1" w:themeFill="text2" w:themeFillTint="33"/>
            <w:tcMar>
              <w:top w:w="58" w:type="dxa"/>
              <w:left w:w="115" w:type="dxa"/>
              <w:bottom w:w="58" w:type="dxa"/>
              <w:right w:w="115" w:type="dxa"/>
            </w:tcMar>
            <w:vAlign w:val="center"/>
          </w:tcPr>
          <w:p w:rsidR="000B7D73" w:rsidRPr="00180CAB" w:rsidRDefault="000B7D73" w:rsidP="00AA5859">
            <w:pPr>
              <w:spacing w:after="0"/>
              <w:jc w:val="left"/>
              <w:rPr>
                <w:sz w:val="22"/>
                <w:szCs w:val="22"/>
              </w:rPr>
            </w:pPr>
            <w:r w:rsidRPr="00180CAB">
              <w:rPr>
                <w:sz w:val="22"/>
                <w:szCs w:val="22"/>
              </w:rPr>
              <w:t>Roger M. Barzun</w:t>
            </w:r>
          </w:p>
        </w:tc>
        <w:tc>
          <w:tcPr>
            <w:tcW w:w="1270" w:type="dxa"/>
            <w:shd w:val="clear" w:color="auto" w:fill="C6D9F1" w:themeFill="text2" w:themeFillTint="33"/>
            <w:tcMar>
              <w:top w:w="58" w:type="dxa"/>
              <w:left w:w="115" w:type="dxa"/>
              <w:bottom w:w="58" w:type="dxa"/>
              <w:right w:w="115" w:type="dxa"/>
            </w:tcMar>
            <w:vAlign w:val="center"/>
          </w:tcPr>
          <w:p w:rsidR="000B7D73" w:rsidRPr="00180CAB" w:rsidRDefault="000B7D73" w:rsidP="00AA5859">
            <w:pPr>
              <w:widowControl/>
              <w:tabs>
                <w:tab w:val="right" w:pos="968"/>
              </w:tabs>
              <w:spacing w:after="0"/>
              <w:jc w:val="left"/>
              <w:rPr>
                <w:sz w:val="22"/>
                <w:szCs w:val="22"/>
              </w:rPr>
            </w:pPr>
            <w:r w:rsidRPr="00180CAB">
              <w:rPr>
                <w:sz w:val="22"/>
                <w:szCs w:val="22"/>
              </w:rPr>
              <w:tab/>
              <w:t>24,161</w:t>
            </w:r>
          </w:p>
        </w:tc>
        <w:tc>
          <w:tcPr>
            <w:tcW w:w="1094" w:type="dxa"/>
            <w:shd w:val="clear" w:color="auto" w:fill="C6D9F1" w:themeFill="text2" w:themeFillTint="33"/>
            <w:tcMar>
              <w:top w:w="58" w:type="dxa"/>
              <w:left w:w="115" w:type="dxa"/>
              <w:bottom w:w="58" w:type="dxa"/>
              <w:right w:w="115" w:type="dxa"/>
            </w:tcMar>
            <w:vAlign w:val="center"/>
          </w:tcPr>
          <w:p w:rsidR="000B7D73" w:rsidRPr="000B4525" w:rsidRDefault="000B4525" w:rsidP="00AA5859">
            <w:pPr>
              <w:spacing w:after="0"/>
              <w:jc w:val="center"/>
              <w:rPr>
                <w:sz w:val="22"/>
                <w:szCs w:val="22"/>
              </w:rPr>
            </w:pPr>
            <w:r w:rsidRPr="000B4525">
              <w:rPr>
                <w:sz w:val="22"/>
                <w:szCs w:val="22"/>
              </w:rPr>
              <w:t>†</w:t>
            </w:r>
          </w:p>
        </w:tc>
      </w:tr>
      <w:tr w:rsidR="00CF5D1E" w:rsidRPr="000B4525" w:rsidTr="001F058C">
        <w:trPr>
          <w:jc w:val="center"/>
        </w:trPr>
        <w:tc>
          <w:tcPr>
            <w:tcW w:w="3085"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Pr="00180CAB" w:rsidRDefault="00CF5D1E" w:rsidP="0068717E">
            <w:pPr>
              <w:keepNext/>
              <w:spacing w:after="0"/>
              <w:jc w:val="left"/>
              <w:rPr>
                <w:sz w:val="22"/>
                <w:szCs w:val="22"/>
              </w:rPr>
            </w:pPr>
            <w:r w:rsidRPr="00180CAB">
              <w:rPr>
                <w:sz w:val="22"/>
                <w:szCs w:val="22"/>
              </w:rPr>
              <w:t>Kevan M. Blair</w:t>
            </w:r>
            <w:r w:rsidR="00E00D42" w:rsidRPr="00180CAB">
              <w:rPr>
                <w:sz w:val="22"/>
                <w:szCs w:val="22"/>
              </w:rPr>
              <w:t xml:space="preserve"> </w:t>
            </w:r>
            <w:r w:rsidR="00E00D42" w:rsidRPr="00180CAB">
              <w:rPr>
                <w:sz w:val="22"/>
                <w:szCs w:val="22"/>
                <w:vertAlign w:val="superscript"/>
              </w:rPr>
              <w:t>(6)</w:t>
            </w:r>
          </w:p>
        </w:tc>
        <w:tc>
          <w:tcPr>
            <w:tcW w:w="1270"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Pr="00180CAB" w:rsidRDefault="00CF5D1E" w:rsidP="00217BAD">
            <w:pPr>
              <w:widowControl/>
              <w:tabs>
                <w:tab w:val="right" w:pos="968"/>
              </w:tabs>
              <w:spacing w:after="0"/>
              <w:jc w:val="left"/>
              <w:rPr>
                <w:sz w:val="22"/>
                <w:szCs w:val="22"/>
              </w:rPr>
            </w:pPr>
            <w:r w:rsidRPr="00180CAB">
              <w:rPr>
                <w:sz w:val="22"/>
                <w:szCs w:val="22"/>
              </w:rPr>
              <w:tab/>
              <w:t>12,546</w:t>
            </w:r>
          </w:p>
        </w:tc>
        <w:tc>
          <w:tcPr>
            <w:tcW w:w="1094"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Default="00CF5D1E" w:rsidP="007D3778">
            <w:pPr>
              <w:widowControl/>
              <w:spacing w:after="0"/>
              <w:jc w:val="center"/>
              <w:rPr>
                <w:sz w:val="22"/>
                <w:szCs w:val="22"/>
              </w:rPr>
            </w:pPr>
            <w:r w:rsidRPr="000B4525">
              <w:rPr>
                <w:sz w:val="22"/>
                <w:szCs w:val="22"/>
              </w:rPr>
              <w:t>†</w:t>
            </w:r>
          </w:p>
        </w:tc>
      </w:tr>
      <w:tr w:rsidR="00CF5D1E" w:rsidRPr="000B4525" w:rsidTr="001F058C">
        <w:trPr>
          <w:jc w:val="center"/>
        </w:trPr>
        <w:tc>
          <w:tcPr>
            <w:tcW w:w="3085"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CF5D1E" w:rsidRPr="00180CAB" w:rsidRDefault="00CF5D1E" w:rsidP="00E00D42">
            <w:pPr>
              <w:keepNext/>
              <w:spacing w:after="0"/>
              <w:jc w:val="left"/>
              <w:rPr>
                <w:sz w:val="22"/>
                <w:szCs w:val="22"/>
              </w:rPr>
            </w:pPr>
            <w:r w:rsidRPr="00180CAB">
              <w:rPr>
                <w:sz w:val="22"/>
                <w:szCs w:val="22"/>
              </w:rPr>
              <w:t>Peter E. MacKenna</w:t>
            </w:r>
            <w:r w:rsidR="00720084" w:rsidRPr="00180CAB">
              <w:rPr>
                <w:sz w:val="22"/>
                <w:szCs w:val="22"/>
              </w:rPr>
              <w:t xml:space="preserve"> </w:t>
            </w:r>
            <w:r w:rsidR="00720084" w:rsidRPr="00180CAB">
              <w:rPr>
                <w:sz w:val="22"/>
                <w:szCs w:val="22"/>
                <w:vertAlign w:val="superscript"/>
              </w:rPr>
              <w:t>(</w:t>
            </w:r>
            <w:r w:rsidR="00E00D42" w:rsidRPr="00180CAB">
              <w:rPr>
                <w:sz w:val="22"/>
                <w:szCs w:val="22"/>
                <w:vertAlign w:val="superscript"/>
              </w:rPr>
              <w:t>7</w:t>
            </w:r>
            <w:r w:rsidR="00720084" w:rsidRPr="00180CAB">
              <w:rPr>
                <w:sz w:val="22"/>
                <w:szCs w:val="22"/>
                <w:vertAlign w:val="superscript"/>
              </w:rPr>
              <w:t>)</w:t>
            </w:r>
          </w:p>
        </w:tc>
        <w:tc>
          <w:tcPr>
            <w:tcW w:w="1270"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CF5D1E" w:rsidRPr="00180CAB" w:rsidRDefault="00720084" w:rsidP="00217BAD">
            <w:pPr>
              <w:widowControl/>
              <w:tabs>
                <w:tab w:val="right" w:pos="968"/>
              </w:tabs>
              <w:spacing w:after="0"/>
              <w:jc w:val="left"/>
              <w:rPr>
                <w:sz w:val="22"/>
                <w:szCs w:val="22"/>
              </w:rPr>
            </w:pPr>
            <w:r w:rsidRPr="00180CAB">
              <w:rPr>
                <w:sz w:val="22"/>
                <w:szCs w:val="22"/>
              </w:rPr>
              <w:tab/>
              <w:t>211,328</w:t>
            </w:r>
          </w:p>
        </w:tc>
        <w:tc>
          <w:tcPr>
            <w:tcW w:w="1094"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CF5D1E" w:rsidRDefault="0056675C" w:rsidP="007D3778">
            <w:pPr>
              <w:widowControl/>
              <w:spacing w:after="0"/>
              <w:jc w:val="center"/>
              <w:rPr>
                <w:sz w:val="22"/>
                <w:szCs w:val="22"/>
              </w:rPr>
            </w:pPr>
            <w:r>
              <w:rPr>
                <w:sz w:val="22"/>
                <w:szCs w:val="22"/>
              </w:rPr>
              <w:t>1.07%</w:t>
            </w:r>
          </w:p>
        </w:tc>
      </w:tr>
      <w:tr w:rsidR="00CF5D1E" w:rsidRPr="000B4525" w:rsidTr="001F058C">
        <w:trPr>
          <w:jc w:val="center"/>
        </w:trPr>
        <w:tc>
          <w:tcPr>
            <w:tcW w:w="3085"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Pr="00180CAB" w:rsidRDefault="00CF5D1E" w:rsidP="0068717E">
            <w:pPr>
              <w:keepNext/>
              <w:spacing w:after="0"/>
              <w:jc w:val="left"/>
              <w:rPr>
                <w:sz w:val="22"/>
                <w:szCs w:val="22"/>
              </w:rPr>
            </w:pPr>
            <w:r w:rsidRPr="00180CAB">
              <w:rPr>
                <w:sz w:val="22"/>
                <w:szCs w:val="22"/>
              </w:rPr>
              <w:t>Thomas R. Wright</w:t>
            </w:r>
            <w:r w:rsidR="00026E73" w:rsidRPr="00180CAB">
              <w:rPr>
                <w:sz w:val="22"/>
                <w:szCs w:val="22"/>
              </w:rPr>
              <w:t xml:space="preserve"> </w:t>
            </w:r>
            <w:r w:rsidR="00026E73" w:rsidRPr="00180CAB">
              <w:rPr>
                <w:sz w:val="22"/>
                <w:szCs w:val="22"/>
                <w:vertAlign w:val="superscript"/>
              </w:rPr>
              <w:t>(</w:t>
            </w:r>
            <w:r w:rsidR="00E00D42" w:rsidRPr="00180CAB">
              <w:rPr>
                <w:sz w:val="22"/>
                <w:szCs w:val="22"/>
                <w:vertAlign w:val="superscript"/>
              </w:rPr>
              <w:t>8</w:t>
            </w:r>
            <w:r w:rsidR="00026E73" w:rsidRPr="00180CAB">
              <w:rPr>
                <w:sz w:val="22"/>
                <w:szCs w:val="22"/>
                <w:vertAlign w:val="superscript"/>
              </w:rPr>
              <w:t>)</w:t>
            </w:r>
          </w:p>
        </w:tc>
        <w:tc>
          <w:tcPr>
            <w:tcW w:w="1270"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Pr="00180CAB" w:rsidRDefault="002C3810" w:rsidP="002C3810">
            <w:pPr>
              <w:widowControl/>
              <w:tabs>
                <w:tab w:val="right" w:pos="968"/>
              </w:tabs>
              <w:spacing w:after="0"/>
              <w:jc w:val="left"/>
              <w:rPr>
                <w:sz w:val="22"/>
                <w:szCs w:val="22"/>
              </w:rPr>
            </w:pPr>
            <w:r w:rsidRPr="00180CAB">
              <w:rPr>
                <w:sz w:val="22"/>
                <w:szCs w:val="22"/>
              </w:rPr>
              <w:tab/>
              <w:t>162,004</w:t>
            </w:r>
          </w:p>
        </w:tc>
        <w:tc>
          <w:tcPr>
            <w:tcW w:w="1094" w:type="dxa"/>
            <w:tcBorders>
              <w:bottom w:val="single" w:sz="4" w:space="0" w:color="auto"/>
            </w:tcBorders>
            <w:shd w:val="clear" w:color="auto" w:fill="FFFFFF" w:themeFill="background1"/>
            <w:tcMar>
              <w:top w:w="58" w:type="dxa"/>
              <w:left w:w="115" w:type="dxa"/>
              <w:bottom w:w="58" w:type="dxa"/>
              <w:right w:w="115" w:type="dxa"/>
            </w:tcMar>
            <w:vAlign w:val="bottom"/>
          </w:tcPr>
          <w:p w:rsidR="00CF5D1E" w:rsidRDefault="00CF5D1E" w:rsidP="007D3778">
            <w:pPr>
              <w:widowControl/>
              <w:spacing w:after="0"/>
              <w:jc w:val="center"/>
              <w:rPr>
                <w:sz w:val="22"/>
                <w:szCs w:val="22"/>
              </w:rPr>
            </w:pPr>
            <w:r w:rsidRPr="000B4525">
              <w:rPr>
                <w:sz w:val="22"/>
                <w:szCs w:val="22"/>
              </w:rPr>
              <w:t>†</w:t>
            </w:r>
          </w:p>
        </w:tc>
      </w:tr>
      <w:tr w:rsidR="00E06EAC" w:rsidRPr="000B4525" w:rsidTr="001F058C">
        <w:trPr>
          <w:jc w:val="center"/>
        </w:trPr>
        <w:tc>
          <w:tcPr>
            <w:tcW w:w="3085"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E06EAC" w:rsidRPr="000B4525" w:rsidRDefault="00E06EAC" w:rsidP="00910EAA">
            <w:pPr>
              <w:keepNext/>
              <w:spacing w:after="0"/>
              <w:jc w:val="left"/>
              <w:rPr>
                <w:sz w:val="22"/>
                <w:szCs w:val="22"/>
              </w:rPr>
            </w:pPr>
            <w:r w:rsidRPr="000B4525">
              <w:rPr>
                <w:sz w:val="22"/>
                <w:szCs w:val="22"/>
              </w:rPr>
              <w:t xml:space="preserve">All </w:t>
            </w:r>
            <w:r w:rsidR="00E64E4B" w:rsidRPr="00910EAA">
              <w:rPr>
                <w:i/>
                <w:sz w:val="22"/>
                <w:szCs w:val="22"/>
              </w:rPr>
              <w:t>current</w:t>
            </w:r>
            <w:r w:rsidR="00E64E4B">
              <w:rPr>
                <w:sz w:val="22"/>
                <w:szCs w:val="22"/>
              </w:rPr>
              <w:t xml:space="preserve"> </w:t>
            </w:r>
            <w:r w:rsidRPr="000B4525">
              <w:rPr>
                <w:sz w:val="22"/>
                <w:szCs w:val="22"/>
              </w:rPr>
              <w:t>directors and executive officers as a group (</w:t>
            </w:r>
            <w:r w:rsidR="00910EAA">
              <w:rPr>
                <w:sz w:val="22"/>
                <w:szCs w:val="22"/>
              </w:rPr>
              <w:t>9</w:t>
            </w:r>
            <w:r w:rsidRPr="000B4525">
              <w:rPr>
                <w:sz w:val="22"/>
                <w:szCs w:val="22"/>
              </w:rPr>
              <w:t xml:space="preserve"> persons) </w:t>
            </w:r>
            <w:r w:rsidR="00812DEC">
              <w:rPr>
                <w:sz w:val="22"/>
                <w:szCs w:val="22"/>
                <w:vertAlign w:val="superscript"/>
              </w:rPr>
              <w:t>(</w:t>
            </w:r>
            <w:r w:rsidR="00E00D42">
              <w:rPr>
                <w:sz w:val="22"/>
                <w:szCs w:val="22"/>
                <w:vertAlign w:val="superscript"/>
              </w:rPr>
              <w:t>9</w:t>
            </w:r>
            <w:r w:rsidRPr="000B4525">
              <w:rPr>
                <w:sz w:val="22"/>
                <w:szCs w:val="22"/>
                <w:vertAlign w:val="superscript"/>
              </w:rPr>
              <w:t>)</w:t>
            </w:r>
          </w:p>
        </w:tc>
        <w:tc>
          <w:tcPr>
            <w:tcW w:w="1270"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E06EAC" w:rsidRPr="005727DB" w:rsidRDefault="00E06EAC" w:rsidP="005727DB">
            <w:pPr>
              <w:widowControl/>
              <w:tabs>
                <w:tab w:val="right" w:pos="968"/>
              </w:tabs>
              <w:spacing w:after="0"/>
              <w:jc w:val="left"/>
              <w:rPr>
                <w:sz w:val="22"/>
                <w:szCs w:val="22"/>
              </w:rPr>
            </w:pPr>
            <w:r w:rsidRPr="005727DB">
              <w:rPr>
                <w:sz w:val="22"/>
                <w:szCs w:val="22"/>
              </w:rPr>
              <w:tab/>
              <w:t>1,</w:t>
            </w:r>
            <w:r w:rsidR="005727DB">
              <w:rPr>
                <w:sz w:val="22"/>
                <w:szCs w:val="22"/>
              </w:rPr>
              <w:t>055,240</w:t>
            </w:r>
          </w:p>
        </w:tc>
        <w:tc>
          <w:tcPr>
            <w:tcW w:w="1094" w:type="dxa"/>
            <w:tcBorders>
              <w:bottom w:val="single" w:sz="4" w:space="0" w:color="auto"/>
            </w:tcBorders>
            <w:shd w:val="clear" w:color="auto" w:fill="C6D9F1" w:themeFill="text2" w:themeFillTint="33"/>
            <w:tcMar>
              <w:top w:w="58" w:type="dxa"/>
              <w:left w:w="115" w:type="dxa"/>
              <w:bottom w:w="58" w:type="dxa"/>
              <w:right w:w="115" w:type="dxa"/>
            </w:tcMar>
            <w:vAlign w:val="bottom"/>
          </w:tcPr>
          <w:p w:rsidR="00E06EAC" w:rsidRPr="000B4525" w:rsidRDefault="005D3476" w:rsidP="005727DB">
            <w:pPr>
              <w:widowControl/>
              <w:spacing w:after="0"/>
              <w:jc w:val="center"/>
              <w:rPr>
                <w:sz w:val="22"/>
                <w:szCs w:val="22"/>
              </w:rPr>
            </w:pPr>
            <w:r>
              <w:rPr>
                <w:sz w:val="22"/>
                <w:szCs w:val="22"/>
              </w:rPr>
              <w:t>5.3</w:t>
            </w:r>
            <w:r w:rsidR="005727DB">
              <w:rPr>
                <w:sz w:val="22"/>
                <w:szCs w:val="22"/>
              </w:rPr>
              <w:t>4</w:t>
            </w:r>
            <w:r w:rsidR="00E06EAC" w:rsidRPr="000B4525">
              <w:rPr>
                <w:sz w:val="22"/>
                <w:szCs w:val="22"/>
              </w:rPr>
              <w:t>%</w:t>
            </w:r>
          </w:p>
        </w:tc>
      </w:tr>
    </w:tbl>
    <w:p w:rsidR="008B1E00" w:rsidRPr="00A153A2" w:rsidRDefault="008B1E00" w:rsidP="00C22879">
      <w:pPr>
        <w:widowControl/>
        <w:tabs>
          <w:tab w:val="left" w:pos="2340"/>
        </w:tabs>
        <w:spacing w:before="100"/>
        <w:ind w:left="2070"/>
        <w:jc w:val="left"/>
        <w:rPr>
          <w:sz w:val="20"/>
        </w:rPr>
      </w:pPr>
      <w:r w:rsidRPr="00A153A2">
        <w:rPr>
          <w:sz w:val="20"/>
        </w:rPr>
        <w:t>†</w:t>
      </w:r>
      <w:r w:rsidRPr="00A153A2">
        <w:rPr>
          <w:sz w:val="20"/>
        </w:rPr>
        <w:tab/>
        <w:t>Less than one percent.</w:t>
      </w:r>
    </w:p>
    <w:p w:rsidR="00B47ACE" w:rsidRDefault="008B1E00" w:rsidP="004A38AF">
      <w:pPr>
        <w:widowControl/>
        <w:ind w:left="360"/>
        <w:jc w:val="left"/>
      </w:pPr>
      <w:r>
        <w:t xml:space="preserve">The information </w:t>
      </w:r>
      <w:r w:rsidR="000D4AA5">
        <w:t xml:space="preserve">for the </w:t>
      </w:r>
      <w:r w:rsidR="004129A3">
        <w:t xml:space="preserve">entity </w:t>
      </w:r>
      <w:r w:rsidR="000D4AA5">
        <w:t xml:space="preserve">identified </w:t>
      </w:r>
      <w:r>
        <w:t xml:space="preserve">in footnote </w:t>
      </w:r>
      <w:r w:rsidR="004129A3">
        <w:t>1</w:t>
      </w:r>
      <w:r>
        <w:t xml:space="preserve">, below, is based on </w:t>
      </w:r>
      <w:r w:rsidR="00395692">
        <w:t xml:space="preserve">an amended </w:t>
      </w:r>
      <w:r w:rsidR="004129A3">
        <w:t xml:space="preserve">Schedule </w:t>
      </w:r>
      <w:proofErr w:type="spellStart"/>
      <w:r w:rsidR="004129A3">
        <w:t>13G</w:t>
      </w:r>
      <w:proofErr w:type="spellEnd"/>
      <w:r w:rsidR="00073DB3">
        <w:t xml:space="preserve"> </w:t>
      </w:r>
      <w:r w:rsidR="00395692">
        <w:t xml:space="preserve">that </w:t>
      </w:r>
      <w:r w:rsidR="004129A3">
        <w:t xml:space="preserve">was </w:t>
      </w:r>
      <w:r>
        <w:t>filed with the Securities and Exchange Commission by the named entity on the date indicated.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1710"/>
        <w:gridCol w:w="1177"/>
        <w:gridCol w:w="990"/>
        <w:gridCol w:w="990"/>
        <w:gridCol w:w="1080"/>
      </w:tblGrid>
      <w:tr w:rsidR="00F83FFD" w:rsidRPr="004A6710" w:rsidTr="00ED2109">
        <w:trPr>
          <w:cantSplit/>
          <w:tblHeader/>
        </w:trPr>
        <w:tc>
          <w:tcPr>
            <w:tcW w:w="3265" w:type="dxa"/>
            <w:tcMar>
              <w:top w:w="58" w:type="dxa"/>
              <w:left w:w="115" w:type="dxa"/>
              <w:bottom w:w="58" w:type="dxa"/>
              <w:right w:w="115" w:type="dxa"/>
            </w:tcMar>
          </w:tcPr>
          <w:p w:rsidR="00F83FFD" w:rsidRPr="004A6710" w:rsidRDefault="00F83FFD" w:rsidP="00C22879">
            <w:pPr>
              <w:keepNext/>
              <w:widowControl/>
              <w:spacing w:after="0"/>
              <w:jc w:val="left"/>
              <w:rPr>
                <w:sz w:val="18"/>
                <w:szCs w:val="18"/>
              </w:rPr>
            </w:pPr>
          </w:p>
        </w:tc>
        <w:tc>
          <w:tcPr>
            <w:tcW w:w="1710" w:type="dxa"/>
            <w:tcMar>
              <w:top w:w="58" w:type="dxa"/>
              <w:left w:w="115" w:type="dxa"/>
              <w:bottom w:w="58" w:type="dxa"/>
              <w:right w:w="115" w:type="dxa"/>
            </w:tcMar>
          </w:tcPr>
          <w:p w:rsidR="00F83FFD" w:rsidRPr="004A6710" w:rsidRDefault="00F83FFD" w:rsidP="00C22879">
            <w:pPr>
              <w:keepNext/>
              <w:widowControl/>
              <w:spacing w:after="0"/>
              <w:jc w:val="left"/>
              <w:rPr>
                <w:sz w:val="18"/>
                <w:szCs w:val="18"/>
              </w:rPr>
            </w:pPr>
          </w:p>
        </w:tc>
        <w:tc>
          <w:tcPr>
            <w:tcW w:w="2167" w:type="dxa"/>
            <w:gridSpan w:val="2"/>
            <w:tcMar>
              <w:top w:w="58" w:type="dxa"/>
              <w:left w:w="115" w:type="dxa"/>
              <w:bottom w:w="58" w:type="dxa"/>
              <w:right w:w="115" w:type="dxa"/>
            </w:tcMar>
          </w:tcPr>
          <w:p w:rsidR="00F83FFD" w:rsidRPr="004A6710" w:rsidRDefault="00F83FFD" w:rsidP="00C22879">
            <w:pPr>
              <w:keepNext/>
              <w:widowControl/>
              <w:spacing w:after="0"/>
              <w:jc w:val="center"/>
              <w:rPr>
                <w:b/>
                <w:sz w:val="18"/>
                <w:szCs w:val="18"/>
                <w:u w:val="single"/>
              </w:rPr>
            </w:pPr>
            <w:r w:rsidRPr="004A6710">
              <w:rPr>
                <w:b/>
                <w:sz w:val="18"/>
                <w:szCs w:val="18"/>
                <w:u w:val="single"/>
              </w:rPr>
              <w:t>Voting Power</w:t>
            </w:r>
          </w:p>
        </w:tc>
        <w:tc>
          <w:tcPr>
            <w:tcW w:w="2070" w:type="dxa"/>
            <w:gridSpan w:val="2"/>
            <w:tcMar>
              <w:top w:w="58" w:type="dxa"/>
              <w:left w:w="115" w:type="dxa"/>
              <w:bottom w:w="58" w:type="dxa"/>
              <w:right w:w="115" w:type="dxa"/>
            </w:tcMar>
          </w:tcPr>
          <w:p w:rsidR="00F83FFD" w:rsidRPr="004A6710" w:rsidRDefault="00F83FFD" w:rsidP="00C22879">
            <w:pPr>
              <w:keepNext/>
              <w:widowControl/>
              <w:spacing w:after="0"/>
              <w:jc w:val="center"/>
              <w:rPr>
                <w:b/>
                <w:sz w:val="18"/>
                <w:szCs w:val="18"/>
                <w:u w:val="single"/>
              </w:rPr>
            </w:pPr>
            <w:r w:rsidRPr="004A6710">
              <w:rPr>
                <w:b/>
                <w:sz w:val="18"/>
                <w:szCs w:val="18"/>
                <w:u w:val="single"/>
              </w:rPr>
              <w:t>Dispositive Power</w:t>
            </w:r>
          </w:p>
        </w:tc>
      </w:tr>
      <w:tr w:rsidR="00F83FFD" w:rsidRPr="004A6710" w:rsidTr="00CB1F78">
        <w:trPr>
          <w:cantSplit/>
          <w:tblHeader/>
        </w:trPr>
        <w:tc>
          <w:tcPr>
            <w:tcW w:w="3265"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Name</w:t>
            </w:r>
          </w:p>
        </w:tc>
        <w:tc>
          <w:tcPr>
            <w:tcW w:w="171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Filing Date</w:t>
            </w:r>
          </w:p>
        </w:tc>
        <w:tc>
          <w:tcPr>
            <w:tcW w:w="1177"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Sole</w:t>
            </w:r>
          </w:p>
        </w:tc>
        <w:tc>
          <w:tcPr>
            <w:tcW w:w="99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Shared</w:t>
            </w:r>
          </w:p>
        </w:tc>
        <w:tc>
          <w:tcPr>
            <w:tcW w:w="99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Sole</w:t>
            </w:r>
          </w:p>
        </w:tc>
        <w:tc>
          <w:tcPr>
            <w:tcW w:w="1080" w:type="dxa"/>
            <w:tcBorders>
              <w:bottom w:val="single" w:sz="4" w:space="0" w:color="auto"/>
            </w:tcBorders>
            <w:tcMar>
              <w:top w:w="58" w:type="dxa"/>
              <w:left w:w="115" w:type="dxa"/>
              <w:bottom w:w="0" w:type="dxa"/>
              <w:right w:w="115" w:type="dxa"/>
            </w:tcMar>
            <w:vAlign w:val="bottom"/>
          </w:tcPr>
          <w:p w:rsidR="00F83FFD" w:rsidRPr="004A6710" w:rsidRDefault="00683D81" w:rsidP="00C22879">
            <w:pPr>
              <w:keepNext/>
              <w:widowControl/>
              <w:spacing w:after="0"/>
              <w:jc w:val="center"/>
              <w:rPr>
                <w:b/>
                <w:sz w:val="18"/>
                <w:szCs w:val="18"/>
              </w:rPr>
            </w:pPr>
            <w:r w:rsidRPr="004A6710">
              <w:rPr>
                <w:b/>
                <w:sz w:val="18"/>
                <w:szCs w:val="18"/>
              </w:rPr>
              <w:t>Shared</w:t>
            </w:r>
          </w:p>
        </w:tc>
      </w:tr>
      <w:tr w:rsidR="00EC488B" w:rsidRPr="00107251" w:rsidTr="00ED2109">
        <w:tc>
          <w:tcPr>
            <w:tcW w:w="3265" w:type="dxa"/>
            <w:tcBorders>
              <w:top w:val="single" w:sz="4" w:space="0" w:color="auto"/>
            </w:tcBorders>
            <w:tcMar>
              <w:top w:w="58" w:type="dxa"/>
              <w:left w:w="115" w:type="dxa"/>
              <w:bottom w:w="0" w:type="dxa"/>
              <w:right w:w="115" w:type="dxa"/>
            </w:tcMar>
            <w:vAlign w:val="center"/>
          </w:tcPr>
          <w:p w:rsidR="00EC488B" w:rsidRPr="00EA48B9" w:rsidRDefault="00EC488B" w:rsidP="004A38AF">
            <w:pPr>
              <w:tabs>
                <w:tab w:val="left" w:pos="412"/>
              </w:tabs>
              <w:spacing w:after="0"/>
              <w:ind w:left="418" w:hanging="418"/>
              <w:jc w:val="left"/>
              <w:rPr>
                <w:sz w:val="18"/>
                <w:szCs w:val="18"/>
              </w:rPr>
            </w:pPr>
            <w:r w:rsidRPr="00EA48B9">
              <w:rPr>
                <w:sz w:val="18"/>
                <w:szCs w:val="18"/>
              </w:rPr>
              <w:t>(</w:t>
            </w:r>
            <w:r w:rsidR="001F6EB0">
              <w:rPr>
                <w:sz w:val="18"/>
                <w:szCs w:val="18"/>
              </w:rPr>
              <w:t>1</w:t>
            </w:r>
            <w:r w:rsidRPr="00EA48B9">
              <w:rPr>
                <w:sz w:val="18"/>
                <w:szCs w:val="18"/>
              </w:rPr>
              <w:t>)</w:t>
            </w:r>
            <w:r w:rsidRPr="00EA48B9">
              <w:rPr>
                <w:sz w:val="18"/>
                <w:szCs w:val="18"/>
              </w:rPr>
              <w:tab/>
            </w:r>
            <w:proofErr w:type="spellStart"/>
            <w:r w:rsidRPr="00ED2109">
              <w:rPr>
                <w:b/>
                <w:sz w:val="18"/>
                <w:szCs w:val="18"/>
              </w:rPr>
              <w:t>FMR</w:t>
            </w:r>
            <w:proofErr w:type="spellEnd"/>
            <w:r w:rsidRPr="00ED2109">
              <w:rPr>
                <w:b/>
                <w:sz w:val="18"/>
                <w:szCs w:val="18"/>
              </w:rPr>
              <w:t xml:space="preserve"> LLC</w:t>
            </w:r>
          </w:p>
        </w:tc>
        <w:tc>
          <w:tcPr>
            <w:tcW w:w="1710" w:type="dxa"/>
            <w:tcMar>
              <w:top w:w="58" w:type="dxa"/>
              <w:left w:w="115" w:type="dxa"/>
              <w:bottom w:w="0" w:type="dxa"/>
              <w:right w:w="115" w:type="dxa"/>
            </w:tcMar>
            <w:vAlign w:val="center"/>
          </w:tcPr>
          <w:p w:rsidR="00EC488B" w:rsidRPr="004D6FE3" w:rsidRDefault="00EA48B9" w:rsidP="00B16573">
            <w:pPr>
              <w:tabs>
                <w:tab w:val="left" w:pos="360"/>
              </w:tabs>
              <w:spacing w:after="0"/>
              <w:jc w:val="center"/>
              <w:rPr>
                <w:sz w:val="18"/>
                <w:szCs w:val="18"/>
              </w:rPr>
            </w:pPr>
            <w:r w:rsidRPr="004D6FE3">
              <w:rPr>
                <w:sz w:val="18"/>
                <w:szCs w:val="18"/>
              </w:rPr>
              <w:t xml:space="preserve">November </w:t>
            </w:r>
            <w:r w:rsidR="00B16573">
              <w:rPr>
                <w:sz w:val="18"/>
                <w:szCs w:val="18"/>
              </w:rPr>
              <w:t>10</w:t>
            </w:r>
            <w:r w:rsidRPr="004D6FE3">
              <w:rPr>
                <w:sz w:val="18"/>
                <w:szCs w:val="18"/>
              </w:rPr>
              <w:t>, 2014</w:t>
            </w:r>
          </w:p>
        </w:tc>
        <w:tc>
          <w:tcPr>
            <w:tcW w:w="1177" w:type="dxa"/>
            <w:tcMar>
              <w:top w:w="58" w:type="dxa"/>
              <w:left w:w="115" w:type="dxa"/>
              <w:bottom w:w="0" w:type="dxa"/>
              <w:right w:w="115" w:type="dxa"/>
            </w:tcMar>
            <w:vAlign w:val="center"/>
          </w:tcPr>
          <w:p w:rsidR="00EC488B" w:rsidRPr="00EA48B9" w:rsidRDefault="00EA48B9" w:rsidP="004A38AF">
            <w:pPr>
              <w:tabs>
                <w:tab w:val="left" w:pos="360"/>
              </w:tabs>
              <w:spacing w:after="0"/>
              <w:jc w:val="center"/>
              <w:rPr>
                <w:sz w:val="18"/>
                <w:szCs w:val="18"/>
              </w:rPr>
            </w:pPr>
            <w:r w:rsidRPr="00EA48B9">
              <w:rPr>
                <w:sz w:val="18"/>
                <w:szCs w:val="18"/>
              </w:rPr>
              <w:t>56,200</w:t>
            </w:r>
          </w:p>
        </w:tc>
        <w:tc>
          <w:tcPr>
            <w:tcW w:w="990" w:type="dxa"/>
            <w:tcMar>
              <w:top w:w="58" w:type="dxa"/>
              <w:left w:w="115" w:type="dxa"/>
              <w:bottom w:w="0" w:type="dxa"/>
              <w:right w:w="115" w:type="dxa"/>
            </w:tcMar>
            <w:vAlign w:val="center"/>
          </w:tcPr>
          <w:p w:rsidR="00EC488B" w:rsidRPr="00EA48B9" w:rsidRDefault="00EC488B" w:rsidP="004A38AF">
            <w:pPr>
              <w:tabs>
                <w:tab w:val="left" w:pos="360"/>
              </w:tabs>
              <w:spacing w:after="0"/>
              <w:jc w:val="center"/>
              <w:rPr>
                <w:sz w:val="18"/>
                <w:szCs w:val="18"/>
              </w:rPr>
            </w:pPr>
            <w:r w:rsidRPr="00EA48B9">
              <w:rPr>
                <w:sz w:val="18"/>
                <w:szCs w:val="18"/>
              </w:rPr>
              <w:t>—</w:t>
            </w:r>
          </w:p>
        </w:tc>
        <w:tc>
          <w:tcPr>
            <w:tcW w:w="990" w:type="dxa"/>
            <w:tcMar>
              <w:top w:w="58" w:type="dxa"/>
              <w:left w:w="115" w:type="dxa"/>
              <w:bottom w:w="0" w:type="dxa"/>
              <w:right w:w="115" w:type="dxa"/>
            </w:tcMar>
            <w:vAlign w:val="center"/>
          </w:tcPr>
          <w:p w:rsidR="00EC488B" w:rsidRPr="00EA48B9" w:rsidRDefault="00EA48B9" w:rsidP="004A38AF">
            <w:pPr>
              <w:tabs>
                <w:tab w:val="left" w:pos="360"/>
              </w:tabs>
              <w:spacing w:after="0"/>
              <w:jc w:val="center"/>
              <w:rPr>
                <w:sz w:val="18"/>
                <w:szCs w:val="18"/>
              </w:rPr>
            </w:pPr>
            <w:r w:rsidRPr="00EA48B9">
              <w:rPr>
                <w:sz w:val="18"/>
                <w:szCs w:val="18"/>
              </w:rPr>
              <w:t>1,906,200</w:t>
            </w:r>
          </w:p>
        </w:tc>
        <w:tc>
          <w:tcPr>
            <w:tcW w:w="1080" w:type="dxa"/>
            <w:tcMar>
              <w:top w:w="58" w:type="dxa"/>
              <w:left w:w="115" w:type="dxa"/>
              <w:bottom w:w="0" w:type="dxa"/>
              <w:right w:w="115" w:type="dxa"/>
            </w:tcMar>
            <w:vAlign w:val="center"/>
          </w:tcPr>
          <w:p w:rsidR="00EC488B" w:rsidRPr="00EA48B9" w:rsidRDefault="00EC488B" w:rsidP="004A38AF">
            <w:pPr>
              <w:tabs>
                <w:tab w:val="left" w:pos="360"/>
              </w:tabs>
              <w:spacing w:after="0"/>
              <w:jc w:val="center"/>
              <w:rPr>
                <w:sz w:val="18"/>
                <w:szCs w:val="18"/>
              </w:rPr>
            </w:pPr>
            <w:r w:rsidRPr="00EA48B9">
              <w:rPr>
                <w:sz w:val="18"/>
                <w:szCs w:val="18"/>
              </w:rPr>
              <w:t>—</w:t>
            </w:r>
          </w:p>
        </w:tc>
      </w:tr>
      <w:tr w:rsidR="00EC488B" w:rsidRPr="00107251" w:rsidTr="004A38AF">
        <w:tc>
          <w:tcPr>
            <w:tcW w:w="9212" w:type="dxa"/>
            <w:gridSpan w:val="6"/>
            <w:tcBorders>
              <w:bottom w:val="single" w:sz="4" w:space="0" w:color="auto"/>
            </w:tcBorders>
            <w:tcMar>
              <w:top w:w="0" w:type="dxa"/>
              <w:left w:w="115" w:type="dxa"/>
              <w:bottom w:w="58" w:type="dxa"/>
              <w:right w:w="115" w:type="dxa"/>
            </w:tcMar>
          </w:tcPr>
          <w:p w:rsidR="00EC488B" w:rsidRPr="00107251" w:rsidRDefault="00EC488B" w:rsidP="004A38AF">
            <w:pPr>
              <w:widowControl/>
              <w:spacing w:after="0"/>
              <w:ind w:left="450"/>
              <w:jc w:val="left"/>
              <w:rPr>
                <w:sz w:val="18"/>
                <w:szCs w:val="18"/>
                <w:highlight w:val="yellow"/>
              </w:rPr>
            </w:pPr>
            <w:r w:rsidRPr="00DA231A">
              <w:rPr>
                <w:sz w:val="18"/>
                <w:szCs w:val="18"/>
              </w:rPr>
              <w:t xml:space="preserve">In its filing, </w:t>
            </w:r>
            <w:proofErr w:type="spellStart"/>
            <w:r w:rsidRPr="00DA231A">
              <w:rPr>
                <w:sz w:val="18"/>
                <w:szCs w:val="18"/>
              </w:rPr>
              <w:t>FMR</w:t>
            </w:r>
            <w:proofErr w:type="spellEnd"/>
            <w:r w:rsidRPr="00DA231A">
              <w:rPr>
                <w:sz w:val="18"/>
                <w:szCs w:val="18"/>
              </w:rPr>
              <w:t xml:space="preserve"> states that </w:t>
            </w:r>
            <w:r w:rsidR="00E5658E">
              <w:rPr>
                <w:sz w:val="18"/>
                <w:szCs w:val="18"/>
              </w:rPr>
              <w:t xml:space="preserve">the </w:t>
            </w:r>
            <w:r w:rsidR="00E5658E" w:rsidRPr="00E5658E">
              <w:rPr>
                <w:sz w:val="18"/>
                <w:szCs w:val="18"/>
              </w:rPr>
              <w:t>filing reflects the securities beneficially owned, or</w:t>
            </w:r>
            <w:r w:rsidR="00E5658E">
              <w:rPr>
                <w:sz w:val="18"/>
                <w:szCs w:val="18"/>
              </w:rPr>
              <w:t xml:space="preserve"> </w:t>
            </w:r>
            <w:r w:rsidR="00E5658E" w:rsidRPr="00E5658E">
              <w:rPr>
                <w:sz w:val="18"/>
                <w:szCs w:val="18"/>
              </w:rPr>
              <w:t xml:space="preserve">that may be deemed to be beneficially owned, by </w:t>
            </w:r>
            <w:proofErr w:type="spellStart"/>
            <w:r w:rsidR="00E5658E" w:rsidRPr="00E5658E">
              <w:rPr>
                <w:sz w:val="18"/>
                <w:szCs w:val="18"/>
              </w:rPr>
              <w:t>FMR</w:t>
            </w:r>
            <w:proofErr w:type="spellEnd"/>
            <w:r w:rsidR="00E5658E" w:rsidRPr="00E5658E">
              <w:rPr>
                <w:sz w:val="18"/>
                <w:szCs w:val="18"/>
              </w:rPr>
              <w:t xml:space="preserve"> LLC, certain of its</w:t>
            </w:r>
            <w:r w:rsidR="00E5658E">
              <w:rPr>
                <w:sz w:val="18"/>
                <w:szCs w:val="18"/>
              </w:rPr>
              <w:t xml:space="preserve"> </w:t>
            </w:r>
            <w:r w:rsidR="00E5658E" w:rsidRPr="00E5658E">
              <w:rPr>
                <w:sz w:val="18"/>
                <w:szCs w:val="18"/>
              </w:rPr>
              <w:t>subsidiaries and affiliates, and other companies (collectively, the "</w:t>
            </w:r>
            <w:proofErr w:type="spellStart"/>
            <w:r w:rsidR="00E5658E" w:rsidRPr="00E5658E">
              <w:rPr>
                <w:sz w:val="18"/>
                <w:szCs w:val="18"/>
              </w:rPr>
              <w:t>FMR</w:t>
            </w:r>
            <w:proofErr w:type="spellEnd"/>
            <w:r w:rsidR="00ED2109">
              <w:rPr>
                <w:sz w:val="18"/>
                <w:szCs w:val="18"/>
              </w:rPr>
              <w:t xml:space="preserve"> </w:t>
            </w:r>
            <w:r w:rsidR="00E5658E">
              <w:rPr>
                <w:sz w:val="18"/>
                <w:szCs w:val="18"/>
              </w:rPr>
              <w:t xml:space="preserve">Reporters") and that the </w:t>
            </w:r>
            <w:r w:rsidR="00E5658E" w:rsidRPr="00E5658E">
              <w:rPr>
                <w:sz w:val="18"/>
                <w:szCs w:val="18"/>
              </w:rPr>
              <w:t>filing does not reflect securities, if any, beneficially</w:t>
            </w:r>
            <w:r w:rsidR="00E5658E">
              <w:rPr>
                <w:sz w:val="18"/>
                <w:szCs w:val="18"/>
              </w:rPr>
              <w:t xml:space="preserve"> </w:t>
            </w:r>
            <w:r w:rsidR="00E5658E" w:rsidRPr="00E5658E">
              <w:rPr>
                <w:sz w:val="18"/>
                <w:szCs w:val="18"/>
              </w:rPr>
              <w:t>owned by certain other companies whose beneficial ownership of securities</w:t>
            </w:r>
            <w:r w:rsidR="00E5658E">
              <w:rPr>
                <w:sz w:val="18"/>
                <w:szCs w:val="18"/>
              </w:rPr>
              <w:t xml:space="preserve"> </w:t>
            </w:r>
            <w:r w:rsidR="00E5658E" w:rsidRPr="00E5658E">
              <w:rPr>
                <w:sz w:val="18"/>
                <w:szCs w:val="18"/>
              </w:rPr>
              <w:t xml:space="preserve">is disaggregated from that of the </w:t>
            </w:r>
            <w:proofErr w:type="spellStart"/>
            <w:r w:rsidR="00E5658E" w:rsidRPr="00E5658E">
              <w:rPr>
                <w:sz w:val="18"/>
                <w:szCs w:val="18"/>
              </w:rPr>
              <w:t>FMR</w:t>
            </w:r>
            <w:proofErr w:type="spellEnd"/>
            <w:r w:rsidR="00E5658E" w:rsidRPr="00E5658E">
              <w:rPr>
                <w:sz w:val="18"/>
                <w:szCs w:val="18"/>
              </w:rPr>
              <w:t xml:space="preserve"> Reporters in accordance with</w:t>
            </w:r>
            <w:r w:rsidR="00E5658E">
              <w:rPr>
                <w:sz w:val="18"/>
                <w:szCs w:val="18"/>
              </w:rPr>
              <w:t xml:space="preserve"> </w:t>
            </w:r>
            <w:r w:rsidR="00E5658E" w:rsidRPr="00E5658E">
              <w:rPr>
                <w:sz w:val="18"/>
                <w:szCs w:val="18"/>
              </w:rPr>
              <w:t>Securities and Exchange Commission Release No. 34-39538 (January 12, 1998)</w:t>
            </w:r>
            <w:r w:rsidR="00E5658E">
              <w:rPr>
                <w:sz w:val="18"/>
                <w:szCs w:val="18"/>
              </w:rPr>
              <w:t>.</w:t>
            </w:r>
          </w:p>
        </w:tc>
      </w:tr>
    </w:tbl>
    <w:p w:rsidR="00892111" w:rsidRPr="009D3C07" w:rsidRDefault="00BE2DA7" w:rsidP="00890B3A">
      <w:pPr>
        <w:widowControl/>
        <w:tabs>
          <w:tab w:val="left" w:pos="810"/>
        </w:tabs>
        <w:spacing w:before="100" w:after="60"/>
        <w:ind w:left="810" w:hanging="450"/>
        <w:jc w:val="left"/>
        <w:rPr>
          <w:sz w:val="20"/>
        </w:rPr>
      </w:pPr>
      <w:r>
        <w:rPr>
          <w:sz w:val="20"/>
        </w:rPr>
        <w:t>(</w:t>
      </w:r>
      <w:r w:rsidR="000B4525">
        <w:rPr>
          <w:sz w:val="20"/>
        </w:rPr>
        <w:t>2</w:t>
      </w:r>
      <w:r w:rsidR="00892111" w:rsidRPr="000B4525">
        <w:rPr>
          <w:sz w:val="20"/>
        </w:rPr>
        <w:t>)</w:t>
      </w:r>
      <w:r w:rsidR="00892111" w:rsidRPr="009D3C07">
        <w:rPr>
          <w:sz w:val="20"/>
        </w:rPr>
        <w:tab/>
        <w:t xml:space="preserve">This </w:t>
      </w:r>
      <w:r w:rsidR="00AF2E85">
        <w:rPr>
          <w:sz w:val="20"/>
        </w:rPr>
        <w:t>director's shares include</w:t>
      </w:r>
      <w:r w:rsidR="00892111" w:rsidRPr="009D3C07">
        <w:rPr>
          <w:sz w:val="20"/>
        </w:rPr>
        <w:t xml:space="preserve"> </w:t>
      </w:r>
      <w:r w:rsidR="00217BAD">
        <w:rPr>
          <w:sz w:val="20"/>
        </w:rPr>
        <w:t>12,135</w:t>
      </w:r>
      <w:r w:rsidR="00892111" w:rsidRPr="009D3C07">
        <w:rPr>
          <w:sz w:val="20"/>
        </w:rPr>
        <w:t xml:space="preserve"> shares </w:t>
      </w:r>
      <w:r w:rsidR="00DF40B6">
        <w:rPr>
          <w:sz w:val="20"/>
        </w:rPr>
        <w:t xml:space="preserve">that </w:t>
      </w:r>
      <w:r w:rsidR="00DF40B6" w:rsidRPr="00DF40B6">
        <w:rPr>
          <w:sz w:val="20"/>
        </w:rPr>
        <w:t xml:space="preserve">are subject to restrictions </w:t>
      </w:r>
      <w:r w:rsidR="0014570A">
        <w:rPr>
          <w:sz w:val="20"/>
        </w:rPr>
        <w:t>on</w:t>
      </w:r>
      <w:r w:rsidR="00DF40B6" w:rsidRPr="00DF40B6">
        <w:rPr>
          <w:sz w:val="20"/>
        </w:rPr>
        <w:t xml:space="preserve"> their sale or other transfer</w:t>
      </w:r>
      <w:r w:rsidR="00DF40B6">
        <w:rPr>
          <w:sz w:val="20"/>
        </w:rPr>
        <w:t xml:space="preserve">. </w:t>
      </w:r>
      <w:r w:rsidR="00DF40B6" w:rsidRPr="009D3C07">
        <w:rPr>
          <w:sz w:val="20"/>
        </w:rPr>
        <w:t xml:space="preserve"> </w:t>
      </w:r>
      <w:r w:rsidR="005F5488">
        <w:rPr>
          <w:sz w:val="20"/>
        </w:rPr>
        <w:t xml:space="preserve">The shares </w:t>
      </w:r>
      <w:r w:rsidR="00DF40B6">
        <w:rPr>
          <w:sz w:val="20"/>
        </w:rPr>
        <w:t xml:space="preserve">were </w:t>
      </w:r>
      <w:r w:rsidR="00892111" w:rsidRPr="009D3C07">
        <w:rPr>
          <w:sz w:val="20"/>
        </w:rPr>
        <w:t>awarded to th</w:t>
      </w:r>
      <w:r w:rsidR="00473860">
        <w:rPr>
          <w:sz w:val="20"/>
        </w:rPr>
        <w:t>e</w:t>
      </w:r>
      <w:r w:rsidR="00892111" w:rsidRPr="009D3C07">
        <w:rPr>
          <w:sz w:val="20"/>
        </w:rPr>
        <w:t xml:space="preserve"> non-employee </w:t>
      </w:r>
      <w:r w:rsidR="007704DC">
        <w:rPr>
          <w:sz w:val="20"/>
        </w:rPr>
        <w:t xml:space="preserve">as </w:t>
      </w:r>
      <w:r w:rsidR="00892111" w:rsidRPr="009D3C07">
        <w:rPr>
          <w:sz w:val="20"/>
        </w:rPr>
        <w:t xml:space="preserve">director </w:t>
      </w:r>
      <w:r w:rsidR="0071056A">
        <w:rPr>
          <w:sz w:val="20"/>
        </w:rPr>
        <w:t xml:space="preserve">compensation </w:t>
      </w:r>
      <w:r w:rsidR="000D4AA5">
        <w:rPr>
          <w:sz w:val="20"/>
        </w:rPr>
        <w:t xml:space="preserve">— </w:t>
      </w:r>
      <w:r w:rsidR="00F3095F">
        <w:rPr>
          <w:sz w:val="20"/>
        </w:rPr>
        <w:t xml:space="preserve">see </w:t>
      </w:r>
      <w:r w:rsidR="00892111" w:rsidRPr="009D3C07">
        <w:rPr>
          <w:sz w:val="20"/>
        </w:rPr>
        <w:t xml:space="preserve">the section </w:t>
      </w:r>
      <w:r w:rsidR="00F3095F">
        <w:rPr>
          <w:sz w:val="20"/>
        </w:rPr>
        <w:t xml:space="preserve">above </w:t>
      </w:r>
      <w:r w:rsidR="00892111" w:rsidRPr="009D3C07">
        <w:rPr>
          <w:sz w:val="20"/>
        </w:rPr>
        <w:t xml:space="preserve">entitled </w:t>
      </w:r>
      <w:r w:rsidR="00892111" w:rsidRPr="00DF40B6">
        <w:rPr>
          <w:i/>
          <w:sz w:val="20"/>
        </w:rPr>
        <w:t>Director Compensation</w:t>
      </w:r>
      <w:r w:rsidR="00892111" w:rsidRPr="009D3C07">
        <w:rPr>
          <w:sz w:val="20"/>
        </w:rPr>
        <w:t xml:space="preserve"> under the heading </w:t>
      </w:r>
      <w:r w:rsidR="00892111" w:rsidRPr="00DF40B6">
        <w:rPr>
          <w:i/>
          <w:sz w:val="20"/>
        </w:rPr>
        <w:t>Board Operations</w:t>
      </w:r>
      <w:r w:rsidR="00892111" w:rsidRPr="009D3C07">
        <w:rPr>
          <w:sz w:val="20"/>
        </w:rPr>
        <w:t>.  The restrictions expire on</w:t>
      </w:r>
      <w:r w:rsidR="000157C3">
        <w:rPr>
          <w:sz w:val="20"/>
        </w:rPr>
        <w:t xml:space="preserve"> </w:t>
      </w:r>
      <w:r w:rsidR="00DF40B6">
        <w:rPr>
          <w:sz w:val="20"/>
        </w:rPr>
        <w:t xml:space="preserve">May </w:t>
      </w:r>
      <w:r w:rsidR="00217BAD">
        <w:rPr>
          <w:sz w:val="20"/>
        </w:rPr>
        <w:t>5</w:t>
      </w:r>
      <w:r w:rsidR="00892111" w:rsidRPr="009D3C07">
        <w:rPr>
          <w:sz w:val="20"/>
        </w:rPr>
        <w:t>, 201</w:t>
      </w:r>
      <w:r w:rsidR="008F52B8">
        <w:rPr>
          <w:sz w:val="20"/>
        </w:rPr>
        <w:t>6</w:t>
      </w:r>
      <w:r w:rsidR="00892111" w:rsidRPr="009D3C07">
        <w:rPr>
          <w:sz w:val="20"/>
        </w:rPr>
        <w:t xml:space="preserve">, the day </w:t>
      </w:r>
      <w:r w:rsidR="001E2875">
        <w:rPr>
          <w:sz w:val="20"/>
        </w:rPr>
        <w:t>before</w:t>
      </w:r>
      <w:r w:rsidR="00892111" w:rsidRPr="009D3C07">
        <w:rPr>
          <w:sz w:val="20"/>
        </w:rPr>
        <w:t xml:space="preserve"> the 201</w:t>
      </w:r>
      <w:r w:rsidR="00217BAD">
        <w:rPr>
          <w:sz w:val="20"/>
        </w:rPr>
        <w:t>6</w:t>
      </w:r>
      <w:r w:rsidR="00107251">
        <w:rPr>
          <w:sz w:val="20"/>
        </w:rPr>
        <w:t xml:space="preserve"> </w:t>
      </w:r>
      <w:r w:rsidR="00892111" w:rsidRPr="009D3C07">
        <w:rPr>
          <w:sz w:val="20"/>
        </w:rPr>
        <w:t>Annual Meeting of Stockholders, but earlier if the director dies or becomes disabled</w:t>
      </w:r>
      <w:r w:rsidR="0071056A">
        <w:rPr>
          <w:sz w:val="20"/>
        </w:rPr>
        <w:t>,</w:t>
      </w:r>
      <w:r w:rsidR="00892111" w:rsidRPr="009D3C07">
        <w:rPr>
          <w:sz w:val="20"/>
        </w:rPr>
        <w:t xml:space="preserve"> or if there is a change in control of the Company.  The shares are forfeited before the expiration of the restrictions if the director ceases to be a director other than because of his </w:t>
      </w:r>
      <w:r w:rsidR="00320769">
        <w:rPr>
          <w:sz w:val="20"/>
        </w:rPr>
        <w:t xml:space="preserve">or her </w:t>
      </w:r>
      <w:r w:rsidR="00892111" w:rsidRPr="009D3C07">
        <w:rPr>
          <w:sz w:val="20"/>
        </w:rPr>
        <w:t>death or disability</w:t>
      </w:r>
      <w:r w:rsidR="0071056A">
        <w:rPr>
          <w:sz w:val="20"/>
        </w:rPr>
        <w:t>,</w:t>
      </w:r>
      <w:r w:rsidR="00892111" w:rsidRPr="009D3C07">
        <w:rPr>
          <w:sz w:val="20"/>
        </w:rPr>
        <w:t xml:space="preserve"> or a change in control of the Company.  </w:t>
      </w:r>
    </w:p>
    <w:p w:rsidR="00892111" w:rsidRDefault="00281EAF" w:rsidP="00016F12">
      <w:pPr>
        <w:widowControl/>
        <w:tabs>
          <w:tab w:val="left" w:pos="810"/>
        </w:tabs>
        <w:spacing w:before="100" w:after="60"/>
        <w:ind w:left="806" w:hanging="446"/>
        <w:jc w:val="left"/>
        <w:rPr>
          <w:sz w:val="20"/>
        </w:rPr>
      </w:pPr>
      <w:r>
        <w:rPr>
          <w:sz w:val="20"/>
        </w:rPr>
        <w:t>(</w:t>
      </w:r>
      <w:r w:rsidR="000B4525">
        <w:rPr>
          <w:sz w:val="20"/>
        </w:rPr>
        <w:t>3</w:t>
      </w:r>
      <w:r w:rsidR="00892111" w:rsidRPr="009D3C07">
        <w:rPr>
          <w:sz w:val="20"/>
        </w:rPr>
        <w:t>)</w:t>
      </w:r>
      <w:r w:rsidR="00892111" w:rsidRPr="009D3C07">
        <w:rPr>
          <w:sz w:val="20"/>
        </w:rPr>
        <w:tab/>
      </w:r>
      <w:r w:rsidR="008A1545">
        <w:rPr>
          <w:sz w:val="20"/>
        </w:rPr>
        <w:t xml:space="preserve">Mr. Hemsley's shares do not include the </w:t>
      </w:r>
      <w:r w:rsidR="00892111" w:rsidRPr="009D3C07">
        <w:rPr>
          <w:sz w:val="20"/>
        </w:rPr>
        <w:t>shares owned by the Maarten and Mavis Hemsley Family Foundation.</w:t>
      </w:r>
      <w:r w:rsidR="008A1545">
        <w:rPr>
          <w:sz w:val="20"/>
        </w:rPr>
        <w:t xml:space="preserve">  </w:t>
      </w:r>
    </w:p>
    <w:p w:rsidR="006057E4" w:rsidRDefault="000B4525" w:rsidP="00016F12">
      <w:pPr>
        <w:widowControl/>
        <w:tabs>
          <w:tab w:val="left" w:pos="810"/>
        </w:tabs>
        <w:spacing w:before="100" w:after="60"/>
        <w:ind w:left="806" w:hanging="446"/>
        <w:jc w:val="left"/>
        <w:rPr>
          <w:sz w:val="20"/>
        </w:rPr>
      </w:pPr>
      <w:r>
        <w:rPr>
          <w:sz w:val="20"/>
        </w:rPr>
        <w:t>(4</w:t>
      </w:r>
      <w:r w:rsidR="006057E4">
        <w:rPr>
          <w:sz w:val="20"/>
        </w:rPr>
        <w:t>)</w:t>
      </w:r>
      <w:r w:rsidR="006057E4">
        <w:rPr>
          <w:sz w:val="20"/>
        </w:rPr>
        <w:tab/>
        <w:t xml:space="preserve">Of these shares, 400,000 are subject to restrictions </w:t>
      </w:r>
      <w:r w:rsidR="006A104D">
        <w:rPr>
          <w:sz w:val="20"/>
        </w:rPr>
        <w:t xml:space="preserve">on their sale or other transfer.  The restrictions </w:t>
      </w:r>
      <w:r w:rsidR="0014570A" w:rsidRPr="0014570A">
        <w:rPr>
          <w:sz w:val="20"/>
        </w:rPr>
        <w:t>expire</w:t>
      </w:r>
      <w:r w:rsidR="006057E4">
        <w:rPr>
          <w:sz w:val="20"/>
        </w:rPr>
        <w:t xml:space="preserve"> in two equal </w:t>
      </w:r>
      <w:r w:rsidR="00CD2FBF">
        <w:rPr>
          <w:sz w:val="20"/>
        </w:rPr>
        <w:t>installments</w:t>
      </w:r>
      <w:r w:rsidR="006A104D">
        <w:rPr>
          <w:sz w:val="20"/>
        </w:rPr>
        <w:t>,</w:t>
      </w:r>
      <w:r w:rsidR="00CD2FBF">
        <w:rPr>
          <w:sz w:val="20"/>
        </w:rPr>
        <w:t xml:space="preserve"> </w:t>
      </w:r>
      <w:r w:rsidR="006057E4">
        <w:rPr>
          <w:sz w:val="20"/>
        </w:rPr>
        <w:t>on March 9, 2017 and March 9, 2018.</w:t>
      </w:r>
    </w:p>
    <w:p w:rsidR="006A1893" w:rsidRDefault="000B4525" w:rsidP="006A1893">
      <w:pPr>
        <w:widowControl/>
        <w:tabs>
          <w:tab w:val="left" w:pos="810"/>
        </w:tabs>
        <w:spacing w:before="100" w:after="60"/>
        <w:ind w:left="806" w:hanging="446"/>
        <w:jc w:val="left"/>
        <w:rPr>
          <w:sz w:val="20"/>
        </w:rPr>
      </w:pPr>
      <w:r>
        <w:rPr>
          <w:sz w:val="20"/>
        </w:rPr>
        <w:t>(5</w:t>
      </w:r>
      <w:r w:rsidR="006057E4">
        <w:rPr>
          <w:sz w:val="20"/>
        </w:rPr>
        <w:t>)</w:t>
      </w:r>
      <w:r w:rsidR="006057E4">
        <w:rPr>
          <w:sz w:val="20"/>
        </w:rPr>
        <w:tab/>
      </w:r>
      <w:r w:rsidR="00CD2FBF">
        <w:rPr>
          <w:sz w:val="20"/>
        </w:rPr>
        <w:t xml:space="preserve">These shares are subject to restrictions on their sale or other transfer.  The restrictions </w:t>
      </w:r>
      <w:r w:rsidR="0014570A" w:rsidRPr="0014570A">
        <w:rPr>
          <w:sz w:val="20"/>
        </w:rPr>
        <w:t>expire</w:t>
      </w:r>
      <w:r w:rsidR="00CD2FBF">
        <w:rPr>
          <w:sz w:val="20"/>
        </w:rPr>
        <w:t xml:space="preserve"> in</w:t>
      </w:r>
      <w:r w:rsidR="006A104D">
        <w:rPr>
          <w:sz w:val="20"/>
        </w:rPr>
        <w:t xml:space="preserve"> two </w:t>
      </w:r>
      <w:r w:rsidR="00CD2FBF">
        <w:rPr>
          <w:sz w:val="20"/>
        </w:rPr>
        <w:t>equal installments</w:t>
      </w:r>
      <w:r w:rsidR="006A104D">
        <w:rPr>
          <w:sz w:val="20"/>
        </w:rPr>
        <w:t>,</w:t>
      </w:r>
      <w:r w:rsidR="00CD2FBF">
        <w:rPr>
          <w:sz w:val="20"/>
        </w:rPr>
        <w:t xml:space="preserve"> on </w:t>
      </w:r>
      <w:r w:rsidR="006A104D">
        <w:rPr>
          <w:sz w:val="20"/>
        </w:rPr>
        <w:t>November 9, 2016 and November 9, 2017.</w:t>
      </w:r>
    </w:p>
    <w:p w:rsidR="00180CAB" w:rsidRDefault="00720084" w:rsidP="006A1893">
      <w:pPr>
        <w:widowControl/>
        <w:tabs>
          <w:tab w:val="left" w:pos="810"/>
        </w:tabs>
        <w:spacing w:before="100" w:after="60"/>
        <w:ind w:left="806" w:hanging="446"/>
        <w:jc w:val="left"/>
        <w:rPr>
          <w:sz w:val="20"/>
        </w:rPr>
      </w:pPr>
      <w:r>
        <w:rPr>
          <w:sz w:val="20"/>
        </w:rPr>
        <w:t>(6)</w:t>
      </w:r>
      <w:r w:rsidR="00180CAB">
        <w:rPr>
          <w:sz w:val="20"/>
        </w:rPr>
        <w:tab/>
        <w:t xml:space="preserve">Of these shares, 8,973 </w:t>
      </w:r>
      <w:r w:rsidR="00531CD5">
        <w:rPr>
          <w:sz w:val="20"/>
        </w:rPr>
        <w:t xml:space="preserve">shares </w:t>
      </w:r>
      <w:r w:rsidR="00180CAB">
        <w:rPr>
          <w:sz w:val="20"/>
        </w:rPr>
        <w:t xml:space="preserve">are subject to restrictions on their sale or other transfer.  The restrictions </w:t>
      </w:r>
      <w:r w:rsidR="00AC2BFF">
        <w:rPr>
          <w:sz w:val="20"/>
        </w:rPr>
        <w:t xml:space="preserve">lapse as follows:  </w:t>
      </w:r>
      <w:r w:rsidR="00531CD5">
        <w:rPr>
          <w:sz w:val="20"/>
        </w:rPr>
        <w:t xml:space="preserve">as to </w:t>
      </w:r>
      <w:r w:rsidR="00180CAB">
        <w:rPr>
          <w:sz w:val="20"/>
        </w:rPr>
        <w:t xml:space="preserve">1,031 shares on May 8, 2017; 3,971 shares </w:t>
      </w:r>
      <w:r w:rsidR="00D3434C">
        <w:rPr>
          <w:sz w:val="20"/>
        </w:rPr>
        <w:t>on December 31, 2017; and 3,971 shares on January 29, 2018</w:t>
      </w:r>
      <w:r w:rsidR="00AC2BFF">
        <w:rPr>
          <w:sz w:val="20"/>
        </w:rPr>
        <w:t xml:space="preserve">.  </w:t>
      </w:r>
    </w:p>
    <w:p w:rsidR="00720084" w:rsidRDefault="00180CAB" w:rsidP="006A1893">
      <w:pPr>
        <w:widowControl/>
        <w:tabs>
          <w:tab w:val="left" w:pos="810"/>
        </w:tabs>
        <w:spacing w:before="100" w:after="60"/>
        <w:ind w:left="806" w:hanging="446"/>
        <w:jc w:val="left"/>
        <w:rPr>
          <w:sz w:val="20"/>
        </w:rPr>
      </w:pPr>
      <w:r>
        <w:rPr>
          <w:sz w:val="20"/>
        </w:rPr>
        <w:t>(7)</w:t>
      </w:r>
      <w:r>
        <w:rPr>
          <w:sz w:val="20"/>
        </w:rPr>
        <w:tab/>
      </w:r>
      <w:r w:rsidR="00720084" w:rsidRPr="00720084">
        <w:rPr>
          <w:sz w:val="20"/>
        </w:rPr>
        <w:t xml:space="preserve">Mr. MacKenna left the Company on January 31, 2015; these are the shares that he held at that time. </w:t>
      </w:r>
    </w:p>
    <w:p w:rsidR="002C3810" w:rsidRPr="009D3C07" w:rsidRDefault="00180CAB" w:rsidP="006A1893">
      <w:pPr>
        <w:widowControl/>
        <w:tabs>
          <w:tab w:val="left" w:pos="810"/>
        </w:tabs>
        <w:spacing w:before="100" w:after="60"/>
        <w:ind w:left="806" w:hanging="446"/>
        <w:jc w:val="left"/>
        <w:rPr>
          <w:sz w:val="20"/>
        </w:rPr>
      </w:pPr>
      <w:r>
        <w:rPr>
          <w:sz w:val="20"/>
        </w:rPr>
        <w:t>(8</w:t>
      </w:r>
      <w:r w:rsidR="002C3810">
        <w:rPr>
          <w:sz w:val="20"/>
        </w:rPr>
        <w:t>)</w:t>
      </w:r>
      <w:r w:rsidR="002C3810">
        <w:rPr>
          <w:sz w:val="20"/>
        </w:rPr>
        <w:tab/>
      </w:r>
      <w:r w:rsidR="002C3810" w:rsidRPr="00720084">
        <w:rPr>
          <w:sz w:val="20"/>
        </w:rPr>
        <w:t xml:space="preserve">Mr. </w:t>
      </w:r>
      <w:r w:rsidR="002C3810">
        <w:rPr>
          <w:sz w:val="20"/>
        </w:rPr>
        <w:t xml:space="preserve">Wright </w:t>
      </w:r>
      <w:r w:rsidR="002C3810" w:rsidRPr="00720084">
        <w:rPr>
          <w:sz w:val="20"/>
        </w:rPr>
        <w:t xml:space="preserve">left the Company on </w:t>
      </w:r>
      <w:r w:rsidR="002C3810">
        <w:rPr>
          <w:sz w:val="20"/>
        </w:rPr>
        <w:t xml:space="preserve">July </w:t>
      </w:r>
      <w:r w:rsidR="002C3810" w:rsidRPr="00720084">
        <w:rPr>
          <w:sz w:val="20"/>
        </w:rPr>
        <w:t>3, 2015; these are the shares that he held at that time.</w:t>
      </w:r>
    </w:p>
    <w:p w:rsidR="008B1E00" w:rsidRPr="009D3C07" w:rsidRDefault="00892111" w:rsidP="0068717E">
      <w:pPr>
        <w:widowControl/>
        <w:tabs>
          <w:tab w:val="left" w:pos="810"/>
        </w:tabs>
        <w:spacing w:after="60"/>
        <w:ind w:left="810" w:hanging="450"/>
        <w:jc w:val="left"/>
        <w:rPr>
          <w:sz w:val="20"/>
        </w:rPr>
      </w:pPr>
      <w:r w:rsidRPr="009D3C07">
        <w:rPr>
          <w:sz w:val="20"/>
        </w:rPr>
        <w:t>(</w:t>
      </w:r>
      <w:r w:rsidR="00180CAB">
        <w:rPr>
          <w:sz w:val="20"/>
        </w:rPr>
        <w:t>9</w:t>
      </w:r>
      <w:r w:rsidRPr="009D3C07">
        <w:rPr>
          <w:sz w:val="20"/>
        </w:rPr>
        <w:t>)</w:t>
      </w:r>
      <w:r w:rsidRPr="009D3C07">
        <w:rPr>
          <w:sz w:val="20"/>
        </w:rPr>
        <w:tab/>
      </w:r>
      <w:r w:rsidR="00256FCE">
        <w:rPr>
          <w:sz w:val="20"/>
        </w:rPr>
        <w:t>For a</w:t>
      </w:r>
      <w:r w:rsidR="00256FCE" w:rsidRPr="00256FCE">
        <w:rPr>
          <w:sz w:val="20"/>
        </w:rPr>
        <w:t xml:space="preserve">ll </w:t>
      </w:r>
      <w:r w:rsidR="00A041E9">
        <w:rPr>
          <w:sz w:val="20"/>
        </w:rPr>
        <w:t xml:space="preserve">current </w:t>
      </w:r>
      <w:r w:rsidR="00256FCE" w:rsidRPr="00256FCE">
        <w:rPr>
          <w:sz w:val="20"/>
        </w:rPr>
        <w:t>directors and executive officers as a group</w:t>
      </w:r>
      <w:r w:rsidR="00256FCE">
        <w:rPr>
          <w:sz w:val="20"/>
        </w:rPr>
        <w:t>, s</w:t>
      </w:r>
      <w:r w:rsidRPr="009D3C07">
        <w:rPr>
          <w:sz w:val="20"/>
        </w:rPr>
        <w:t>ee footnotes</w:t>
      </w:r>
      <w:r w:rsidRPr="005E1A2F">
        <w:rPr>
          <w:sz w:val="20"/>
        </w:rPr>
        <w:t xml:space="preserve"> </w:t>
      </w:r>
      <w:r w:rsidR="00647C1D">
        <w:rPr>
          <w:sz w:val="20"/>
        </w:rPr>
        <w:t>2</w:t>
      </w:r>
      <w:r w:rsidRPr="005E1A2F">
        <w:rPr>
          <w:sz w:val="20"/>
        </w:rPr>
        <w:t xml:space="preserve"> through </w:t>
      </w:r>
      <w:r w:rsidR="006B452E">
        <w:rPr>
          <w:sz w:val="20"/>
        </w:rPr>
        <w:t>6</w:t>
      </w:r>
      <w:r w:rsidRPr="005E1A2F">
        <w:rPr>
          <w:sz w:val="20"/>
        </w:rPr>
        <w:t>, abo</w:t>
      </w:r>
      <w:r w:rsidRPr="009D3C07">
        <w:rPr>
          <w:sz w:val="20"/>
        </w:rPr>
        <w:t xml:space="preserve">ve, for a description of certain of the shares </w:t>
      </w:r>
      <w:r w:rsidR="00256FCE">
        <w:rPr>
          <w:sz w:val="20"/>
        </w:rPr>
        <w:t>included in the total for the group</w:t>
      </w:r>
      <w:r w:rsidRPr="009D3C07">
        <w:rPr>
          <w:sz w:val="20"/>
        </w:rPr>
        <w:t xml:space="preserve">.  </w:t>
      </w:r>
      <w:r w:rsidR="001F058C">
        <w:rPr>
          <w:sz w:val="20"/>
        </w:rPr>
        <w:t>Con L. Wadsworth became an executive officer effective March 10, 2016 and accordingly, his 4,869 shares are included in this total.</w:t>
      </w:r>
    </w:p>
    <w:p w:rsidR="002A03F6" w:rsidRDefault="00B71562" w:rsidP="00016F12">
      <w:pPr>
        <w:widowControl/>
        <w:spacing w:after="60"/>
        <w:jc w:val="left"/>
      </w:pPr>
      <w:bookmarkStart w:id="83" w:name="_Toc381354138"/>
      <w:bookmarkStart w:id="84" w:name="_Toc445739581"/>
      <w:r w:rsidRPr="003628D8">
        <w:rPr>
          <w:rStyle w:val="002ProxyChar"/>
        </w:rPr>
        <w:t>Section 16(a) Beneficial Ownership Reporting Compliance</w:t>
      </w:r>
      <w:bookmarkEnd w:id="83"/>
      <w:bookmarkEnd w:id="84"/>
      <w:r>
        <w:t xml:space="preserve">.  Section 16(a) of the Securities Exchange Act of 1934 requires the Company’s officers and directors, and persons who own more than 10% of the Company’s equity securities (insiders) to file with the </w:t>
      </w:r>
      <w:r w:rsidR="0020628A">
        <w:t xml:space="preserve">Securities and Exchange Commission </w:t>
      </w:r>
      <w:r>
        <w:t>reports of beneficial ownership of those secur</w:t>
      </w:r>
      <w:r w:rsidR="002A03F6">
        <w:t>ities, as well as</w:t>
      </w:r>
      <w:r>
        <w:t xml:space="preserve"> certain changes in beneficial ownership on Forms 3, 4 and 5, and to give the Company a copy of those reports.</w:t>
      </w:r>
      <w:r w:rsidR="003628D8">
        <w:t xml:space="preserve">  </w:t>
      </w:r>
    </w:p>
    <w:p w:rsidR="00326C12" w:rsidRDefault="00B71562" w:rsidP="00C22879">
      <w:pPr>
        <w:widowControl/>
        <w:jc w:val="left"/>
      </w:pPr>
      <w:r>
        <w:t>Based solely upon a review of Forms 3 and 4 and amendments to them furnished to the Company during 201</w:t>
      </w:r>
      <w:r w:rsidR="00B71A16">
        <w:t>5</w:t>
      </w:r>
      <w:r>
        <w:t>; any Forms 5 and amendments to them furnished to the Company relating to 201</w:t>
      </w:r>
      <w:r w:rsidR="0054227D">
        <w:t>5</w:t>
      </w:r>
      <w:r>
        <w:t>; and written representations that no Form 5 is required, all Section 16(a) filing requirements applicable to the Company’s insiders were satisfied</w:t>
      </w:r>
      <w:r w:rsidR="00905102">
        <w:t>.</w:t>
      </w:r>
      <w:r>
        <w:t xml:space="preserve">  </w:t>
      </w:r>
    </w:p>
    <w:p w:rsidR="008069B7" w:rsidRPr="00715371" w:rsidRDefault="00715371" w:rsidP="00C22879">
      <w:pPr>
        <w:pStyle w:val="001Proxy"/>
        <w:keepNext/>
        <w:pBdr>
          <w:bottom w:val="single" w:sz="12" w:space="1" w:color="auto"/>
        </w:pBdr>
        <w:spacing w:after="240"/>
      </w:pPr>
      <w:bookmarkStart w:id="85" w:name="_Toc381354139"/>
      <w:bookmarkStart w:id="86" w:name="_Toc445739582"/>
      <w:r w:rsidRPr="00715371">
        <w:t>EXECUTIVE COMPENSATION</w:t>
      </w:r>
      <w:bookmarkEnd w:id="85"/>
      <w:bookmarkEnd w:id="86"/>
    </w:p>
    <w:p w:rsidR="00715371" w:rsidRDefault="00715371" w:rsidP="00016F12">
      <w:pPr>
        <w:keepNext/>
        <w:widowControl/>
        <w:spacing w:after="60"/>
        <w:jc w:val="left"/>
      </w:pPr>
      <w:bookmarkStart w:id="87" w:name="_Toc381354140"/>
      <w:bookmarkStart w:id="88" w:name="_Toc445739583"/>
      <w:r w:rsidRPr="003628D8">
        <w:rPr>
          <w:rStyle w:val="002ProxyChar"/>
        </w:rPr>
        <w:t>The Executive Officers</w:t>
      </w:r>
      <w:bookmarkEnd w:id="87"/>
      <w:bookmarkEnd w:id="88"/>
      <w:r>
        <w:t xml:space="preserve">.  </w:t>
      </w:r>
      <w:r w:rsidRPr="00715371">
        <w:t xml:space="preserve">The Company is required under applicable rules and regulations to furnish information about the compensation of </w:t>
      </w:r>
      <w:r>
        <w:t>the following</w:t>
      </w:r>
      <w:r w:rsidR="003628D8">
        <w:t xml:space="preserve"> executives</w:t>
      </w:r>
      <w:r>
        <w:t>:</w:t>
      </w:r>
    </w:p>
    <w:p w:rsidR="00715371" w:rsidRDefault="00715371" w:rsidP="00016F12">
      <w:pPr>
        <w:pStyle w:val="ListParagraph"/>
        <w:numPr>
          <w:ilvl w:val="0"/>
          <w:numId w:val="12"/>
        </w:numPr>
        <w:spacing w:after="60"/>
        <w:ind w:left="720"/>
        <w:contextualSpacing w:val="0"/>
        <w:jc w:val="left"/>
      </w:pPr>
      <w:r w:rsidRPr="00EF597C">
        <w:t>A</w:t>
      </w:r>
      <w:r w:rsidRPr="00715371">
        <w:t>ny person</w:t>
      </w:r>
      <w:r w:rsidR="00D33FB4">
        <w:t>s</w:t>
      </w:r>
      <w:r w:rsidRPr="00715371">
        <w:t xml:space="preserve"> who served </w:t>
      </w:r>
      <w:r w:rsidR="000F70A3">
        <w:t>during 201</w:t>
      </w:r>
      <w:r w:rsidR="00D33FB4">
        <w:t>5</w:t>
      </w:r>
      <w:r w:rsidR="000F70A3">
        <w:t xml:space="preserve"> </w:t>
      </w:r>
      <w:r w:rsidRPr="00715371">
        <w:t xml:space="preserve">as the Company's principal executive officer </w:t>
      </w:r>
      <w:r w:rsidR="009D6E1B">
        <w:t>and</w:t>
      </w:r>
      <w:r w:rsidR="009D6E1B" w:rsidRPr="00EF597C">
        <w:t xml:space="preserve"> a</w:t>
      </w:r>
      <w:r w:rsidR="009D6E1B" w:rsidRPr="00715371">
        <w:t>ny person</w:t>
      </w:r>
      <w:r w:rsidR="00D33FB4">
        <w:t>s</w:t>
      </w:r>
      <w:r w:rsidR="009D6E1B" w:rsidRPr="00715371">
        <w:t xml:space="preserve"> who served </w:t>
      </w:r>
      <w:r w:rsidR="00267EBD">
        <w:t>during 201</w:t>
      </w:r>
      <w:r w:rsidR="00D33FB4">
        <w:t>5</w:t>
      </w:r>
      <w:r w:rsidR="00267EBD">
        <w:t xml:space="preserve"> </w:t>
      </w:r>
      <w:r w:rsidR="009D6E1B" w:rsidRPr="00715371">
        <w:t>as the Company's</w:t>
      </w:r>
      <w:r w:rsidRPr="00715371">
        <w:t xml:space="preserve"> principal financial officer</w:t>
      </w:r>
      <w:r w:rsidR="005B7AD7">
        <w:t>; and</w:t>
      </w:r>
    </w:p>
    <w:p w:rsidR="006F4C7F" w:rsidRDefault="00B65464" w:rsidP="00016F12">
      <w:pPr>
        <w:pStyle w:val="ListParagraph"/>
        <w:widowControl/>
        <w:numPr>
          <w:ilvl w:val="0"/>
          <w:numId w:val="12"/>
        </w:numPr>
        <w:spacing w:after="60"/>
        <w:ind w:left="720"/>
        <w:contextualSpacing w:val="0"/>
        <w:jc w:val="left"/>
      </w:pPr>
      <w:r>
        <w:t xml:space="preserve">The Company's </w:t>
      </w:r>
      <w:r w:rsidR="005B7AD7">
        <w:t>three most highly-</w:t>
      </w:r>
      <w:r w:rsidR="00715371" w:rsidRPr="00715371">
        <w:t xml:space="preserve">compensated executive officers (other than the principal executive officer and the principal financial officer) who were serving as executive officers </w:t>
      </w:r>
      <w:r w:rsidR="005B7AD7">
        <w:t xml:space="preserve">of the Company </w:t>
      </w:r>
      <w:r w:rsidR="006F4D4B">
        <w:t xml:space="preserve">on December 31, </w:t>
      </w:r>
      <w:r w:rsidR="00715371" w:rsidRPr="00715371">
        <w:t>201</w:t>
      </w:r>
      <w:r w:rsidR="00D33FB4">
        <w:t>5</w:t>
      </w:r>
      <w:r w:rsidR="00715371" w:rsidRPr="00715371">
        <w:t xml:space="preserve">.  </w:t>
      </w:r>
    </w:p>
    <w:p w:rsidR="0046197A" w:rsidRDefault="00175635" w:rsidP="00463631">
      <w:pPr>
        <w:widowControl/>
        <w:spacing w:after="40"/>
        <w:ind w:left="360"/>
        <w:jc w:val="left"/>
      </w:pPr>
      <w:r>
        <w:lastRenderedPageBreak/>
        <w:t>The table below shows the names</w:t>
      </w:r>
      <w:r w:rsidR="00D33FB4">
        <w:t xml:space="preserve"> and titles of those executives</w:t>
      </w:r>
      <w:r>
        <w:t xml:space="preserve">.  They are referred to as </w:t>
      </w:r>
      <w:r w:rsidR="006F4C7F">
        <w:t xml:space="preserve">the </w:t>
      </w:r>
      <w:r w:rsidR="006F4C7F" w:rsidRPr="00715371">
        <w:t>named executive officers</w:t>
      </w:r>
      <w:r>
        <w:t xml:space="preserve"> because they are named in the </w:t>
      </w:r>
      <w:r w:rsidRPr="00175635">
        <w:rPr>
          <w:i/>
        </w:rPr>
        <w:t>Summary Compensation Table for 201</w:t>
      </w:r>
      <w:r w:rsidR="00D33FB4">
        <w:rPr>
          <w:i/>
        </w:rPr>
        <w:t>5</w:t>
      </w:r>
      <w:r>
        <w:t xml:space="preserve">.  </w:t>
      </w:r>
    </w:p>
    <w:tbl>
      <w:tblPr>
        <w:tblStyle w:val="TableGrid"/>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6825"/>
      </w:tblGrid>
      <w:tr w:rsidR="009D3C07" w:rsidRPr="00BA73E9" w:rsidTr="00B71A16">
        <w:trPr>
          <w:tblHeader/>
          <w:jc w:val="center"/>
        </w:trPr>
        <w:tc>
          <w:tcPr>
            <w:tcW w:w="2191" w:type="dxa"/>
            <w:tcBorders>
              <w:bottom w:val="single" w:sz="4" w:space="0" w:color="auto"/>
            </w:tcBorders>
            <w:tcMar>
              <w:top w:w="58" w:type="dxa"/>
              <w:left w:w="115" w:type="dxa"/>
              <w:bottom w:w="0" w:type="dxa"/>
              <w:right w:w="115" w:type="dxa"/>
            </w:tcMar>
            <w:vAlign w:val="bottom"/>
          </w:tcPr>
          <w:p w:rsidR="009D3C07" w:rsidRPr="00BA73E9" w:rsidRDefault="009D3C07" w:rsidP="00EF0348">
            <w:pPr>
              <w:keepNext/>
              <w:widowControl/>
              <w:spacing w:after="0"/>
              <w:jc w:val="left"/>
              <w:rPr>
                <w:b/>
                <w:sz w:val="20"/>
              </w:rPr>
            </w:pPr>
            <w:r w:rsidRPr="00BA73E9">
              <w:rPr>
                <w:b/>
                <w:sz w:val="20"/>
              </w:rPr>
              <w:t>Name</w:t>
            </w:r>
          </w:p>
        </w:tc>
        <w:tc>
          <w:tcPr>
            <w:tcW w:w="6825" w:type="dxa"/>
            <w:tcBorders>
              <w:bottom w:val="single" w:sz="4" w:space="0" w:color="auto"/>
            </w:tcBorders>
            <w:tcMar>
              <w:top w:w="58" w:type="dxa"/>
              <w:left w:w="115" w:type="dxa"/>
              <w:bottom w:w="0" w:type="dxa"/>
              <w:right w:w="115" w:type="dxa"/>
            </w:tcMar>
            <w:vAlign w:val="bottom"/>
          </w:tcPr>
          <w:p w:rsidR="009D3C07" w:rsidRPr="00BA73E9" w:rsidRDefault="00581325" w:rsidP="00D33FB4">
            <w:pPr>
              <w:keepNext/>
              <w:widowControl/>
              <w:spacing w:after="0"/>
              <w:jc w:val="left"/>
              <w:rPr>
                <w:b/>
                <w:sz w:val="20"/>
              </w:rPr>
            </w:pPr>
            <w:r w:rsidRPr="00BA73E9">
              <w:rPr>
                <w:b/>
                <w:sz w:val="20"/>
              </w:rPr>
              <w:t>Title/</w:t>
            </w:r>
            <w:r w:rsidR="009D3C07" w:rsidRPr="00BA73E9">
              <w:rPr>
                <w:b/>
                <w:sz w:val="20"/>
              </w:rPr>
              <w:t>Position</w:t>
            </w:r>
            <w:r w:rsidR="0045733F">
              <w:rPr>
                <w:b/>
                <w:sz w:val="20"/>
              </w:rPr>
              <w:t xml:space="preserve"> in 2015</w:t>
            </w:r>
          </w:p>
        </w:tc>
      </w:tr>
      <w:tr w:rsidR="00D33FB4" w:rsidRPr="00BA73E9" w:rsidTr="00B71A16">
        <w:trPr>
          <w:jc w:val="center"/>
        </w:trPr>
        <w:tc>
          <w:tcPr>
            <w:tcW w:w="2191" w:type="dxa"/>
            <w:tcBorders>
              <w:top w:val="single" w:sz="4" w:space="0" w:color="auto"/>
            </w:tcBorders>
            <w:shd w:val="clear" w:color="auto" w:fill="C6D9F1" w:themeFill="text2" w:themeFillTint="33"/>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Pr>
                <w:sz w:val="20"/>
              </w:rPr>
              <w:t>Paul J. Varello</w:t>
            </w:r>
          </w:p>
        </w:tc>
        <w:tc>
          <w:tcPr>
            <w:tcW w:w="6825" w:type="dxa"/>
            <w:tcBorders>
              <w:top w:val="single" w:sz="4" w:space="0" w:color="auto"/>
            </w:tcBorders>
            <w:shd w:val="clear" w:color="auto" w:fill="C6D9F1" w:themeFill="text2" w:themeFillTint="33"/>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Pr>
                <w:sz w:val="20"/>
              </w:rPr>
              <w:t>Chief Executive Officer</w:t>
            </w:r>
            <w:r w:rsidR="0045733F">
              <w:rPr>
                <w:sz w:val="20"/>
              </w:rPr>
              <w:t xml:space="preserve"> (Since February 2015)</w:t>
            </w:r>
          </w:p>
        </w:tc>
      </w:tr>
      <w:tr w:rsidR="00D33FB4" w:rsidRPr="00BA73E9" w:rsidTr="00B65464">
        <w:trPr>
          <w:jc w:val="center"/>
        </w:trPr>
        <w:tc>
          <w:tcPr>
            <w:tcW w:w="2191" w:type="dxa"/>
            <w:shd w:val="clear" w:color="auto" w:fill="FFFFFF" w:themeFill="background1"/>
            <w:tcMar>
              <w:top w:w="58" w:type="dxa"/>
              <w:left w:w="115" w:type="dxa"/>
              <w:bottom w:w="58" w:type="dxa"/>
              <w:right w:w="115" w:type="dxa"/>
            </w:tcMar>
          </w:tcPr>
          <w:p w:rsidR="00D33FB4" w:rsidRPr="00BA73E9" w:rsidRDefault="00D33FB4" w:rsidP="00B65464">
            <w:pPr>
              <w:keepNext/>
              <w:widowControl/>
              <w:spacing w:after="0"/>
              <w:jc w:val="left"/>
              <w:rPr>
                <w:sz w:val="20"/>
              </w:rPr>
            </w:pPr>
            <w:r>
              <w:rPr>
                <w:sz w:val="20"/>
              </w:rPr>
              <w:t>Ronald A. Ballschmiede</w:t>
            </w:r>
          </w:p>
        </w:tc>
        <w:tc>
          <w:tcPr>
            <w:tcW w:w="6825" w:type="dxa"/>
            <w:shd w:val="clear" w:color="auto" w:fill="FFFFFF" w:themeFill="background1"/>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Pr>
                <w:sz w:val="20"/>
              </w:rPr>
              <w:t xml:space="preserve">Executive Vice President &amp; Chief Financial Officer, Chief Accounting Officer </w:t>
            </w:r>
            <w:r w:rsidR="0045733F">
              <w:rPr>
                <w:sz w:val="20"/>
              </w:rPr>
              <w:t xml:space="preserve">Since November </w:t>
            </w:r>
            <w:r w:rsidR="00B65464">
              <w:rPr>
                <w:sz w:val="20"/>
              </w:rPr>
              <w:t xml:space="preserve">9, </w:t>
            </w:r>
            <w:r w:rsidR="0045733F">
              <w:rPr>
                <w:sz w:val="20"/>
              </w:rPr>
              <w:t>2015</w:t>
            </w:r>
          </w:p>
        </w:tc>
      </w:tr>
      <w:tr w:rsidR="00D33FB4" w:rsidRPr="00BA73E9" w:rsidTr="00B71A16">
        <w:trPr>
          <w:jc w:val="center"/>
        </w:trPr>
        <w:tc>
          <w:tcPr>
            <w:tcW w:w="2191" w:type="dxa"/>
            <w:shd w:val="clear" w:color="auto" w:fill="C6D9F1" w:themeFill="text2" w:themeFillTint="33"/>
            <w:tcMar>
              <w:top w:w="58" w:type="dxa"/>
              <w:left w:w="115" w:type="dxa"/>
              <w:bottom w:w="58" w:type="dxa"/>
              <w:right w:w="115" w:type="dxa"/>
            </w:tcMar>
            <w:vAlign w:val="center"/>
          </w:tcPr>
          <w:p w:rsidR="00D33FB4" w:rsidRPr="00BA73E9" w:rsidRDefault="00D33FB4" w:rsidP="004B786B">
            <w:pPr>
              <w:widowControl/>
              <w:spacing w:after="0"/>
              <w:jc w:val="left"/>
              <w:rPr>
                <w:sz w:val="20"/>
              </w:rPr>
            </w:pPr>
            <w:r>
              <w:rPr>
                <w:sz w:val="20"/>
              </w:rPr>
              <w:t>Roger M. Barzun</w:t>
            </w:r>
          </w:p>
        </w:tc>
        <w:tc>
          <w:tcPr>
            <w:tcW w:w="6825" w:type="dxa"/>
            <w:shd w:val="clear" w:color="auto" w:fill="C6D9F1" w:themeFill="text2" w:themeFillTint="33"/>
            <w:tcMar>
              <w:top w:w="58" w:type="dxa"/>
              <w:left w:w="115" w:type="dxa"/>
              <w:bottom w:w="58" w:type="dxa"/>
              <w:right w:w="115" w:type="dxa"/>
            </w:tcMar>
            <w:vAlign w:val="center"/>
          </w:tcPr>
          <w:p w:rsidR="00D33FB4" w:rsidRPr="00BA73E9" w:rsidRDefault="00D33FB4" w:rsidP="004B786B">
            <w:pPr>
              <w:widowControl/>
              <w:spacing w:after="0"/>
              <w:jc w:val="left"/>
              <w:rPr>
                <w:sz w:val="20"/>
              </w:rPr>
            </w:pPr>
            <w:r>
              <w:rPr>
                <w:sz w:val="20"/>
              </w:rPr>
              <w:t>Senior Vice President &amp; General Counsel, Secretary</w:t>
            </w:r>
          </w:p>
        </w:tc>
      </w:tr>
      <w:tr w:rsidR="0045733F" w:rsidRPr="00BA73E9" w:rsidTr="00B71A16">
        <w:trPr>
          <w:jc w:val="center"/>
        </w:trPr>
        <w:tc>
          <w:tcPr>
            <w:tcW w:w="2191" w:type="dxa"/>
            <w:shd w:val="clear" w:color="auto" w:fill="FFFFFF" w:themeFill="background1"/>
            <w:tcMar>
              <w:top w:w="58" w:type="dxa"/>
              <w:left w:w="115" w:type="dxa"/>
              <w:bottom w:w="58" w:type="dxa"/>
              <w:right w:w="115" w:type="dxa"/>
            </w:tcMar>
            <w:vAlign w:val="center"/>
          </w:tcPr>
          <w:p w:rsidR="0045733F" w:rsidRPr="00BA73E9" w:rsidRDefault="0045733F" w:rsidP="00BA73E9">
            <w:pPr>
              <w:keepNext/>
              <w:widowControl/>
              <w:spacing w:after="0"/>
              <w:jc w:val="left"/>
              <w:rPr>
                <w:sz w:val="20"/>
              </w:rPr>
            </w:pPr>
            <w:r>
              <w:rPr>
                <w:sz w:val="20"/>
              </w:rPr>
              <w:t>Kevan M. Blair</w:t>
            </w:r>
          </w:p>
        </w:tc>
        <w:tc>
          <w:tcPr>
            <w:tcW w:w="6825" w:type="dxa"/>
            <w:shd w:val="clear" w:color="auto" w:fill="FFFFFF" w:themeFill="background1"/>
            <w:tcMar>
              <w:top w:w="58" w:type="dxa"/>
              <w:left w:w="115" w:type="dxa"/>
              <w:bottom w:w="58" w:type="dxa"/>
              <w:right w:w="115" w:type="dxa"/>
            </w:tcMar>
            <w:vAlign w:val="center"/>
          </w:tcPr>
          <w:p w:rsidR="0045733F" w:rsidRPr="00BA73E9" w:rsidRDefault="0045733F" w:rsidP="00BA73E9">
            <w:pPr>
              <w:keepNext/>
              <w:widowControl/>
              <w:spacing w:after="0"/>
              <w:jc w:val="left"/>
              <w:rPr>
                <w:sz w:val="20"/>
              </w:rPr>
            </w:pPr>
            <w:r>
              <w:rPr>
                <w:sz w:val="20"/>
              </w:rPr>
              <w:t xml:space="preserve">Senior Vice President &amp; Chief Financial Officer (July </w:t>
            </w:r>
            <w:r w:rsidR="00881C50">
              <w:rPr>
                <w:sz w:val="20"/>
              </w:rPr>
              <w:t xml:space="preserve">3 </w:t>
            </w:r>
            <w:r>
              <w:rPr>
                <w:sz w:val="20"/>
              </w:rPr>
              <w:t>– November</w:t>
            </w:r>
            <w:r w:rsidR="00881C50">
              <w:rPr>
                <w:sz w:val="20"/>
              </w:rPr>
              <w:t xml:space="preserve"> 9</w:t>
            </w:r>
            <w:r>
              <w:rPr>
                <w:sz w:val="20"/>
              </w:rPr>
              <w:t>, 2015)</w:t>
            </w:r>
          </w:p>
        </w:tc>
      </w:tr>
      <w:tr w:rsidR="00D33FB4" w:rsidRPr="00BA73E9" w:rsidTr="00B71A16">
        <w:trPr>
          <w:jc w:val="center"/>
        </w:trPr>
        <w:tc>
          <w:tcPr>
            <w:tcW w:w="2191" w:type="dxa"/>
            <w:shd w:val="clear" w:color="auto" w:fill="C6D9F1" w:themeFill="text2" w:themeFillTint="33"/>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sidRPr="00BA73E9">
              <w:rPr>
                <w:sz w:val="20"/>
              </w:rPr>
              <w:t>Peter E. MacKenna</w:t>
            </w:r>
          </w:p>
        </w:tc>
        <w:tc>
          <w:tcPr>
            <w:tcW w:w="6825" w:type="dxa"/>
            <w:shd w:val="clear" w:color="auto" w:fill="C6D9F1" w:themeFill="text2" w:themeFillTint="33"/>
            <w:tcMar>
              <w:top w:w="58" w:type="dxa"/>
              <w:left w:w="115" w:type="dxa"/>
              <w:bottom w:w="58" w:type="dxa"/>
              <w:right w:w="115" w:type="dxa"/>
            </w:tcMar>
            <w:vAlign w:val="center"/>
          </w:tcPr>
          <w:p w:rsidR="00D33FB4" w:rsidRPr="00BA73E9" w:rsidRDefault="00D33FB4" w:rsidP="00BA73E9">
            <w:pPr>
              <w:keepNext/>
              <w:widowControl/>
              <w:spacing w:after="0"/>
              <w:jc w:val="left"/>
              <w:rPr>
                <w:sz w:val="20"/>
              </w:rPr>
            </w:pPr>
            <w:r w:rsidRPr="00BA73E9">
              <w:rPr>
                <w:sz w:val="20"/>
              </w:rPr>
              <w:t>President &amp; Chief Executive Officer</w:t>
            </w:r>
            <w:r>
              <w:rPr>
                <w:sz w:val="20"/>
              </w:rPr>
              <w:t xml:space="preserve"> (January 1 - 31, 2015)</w:t>
            </w:r>
          </w:p>
        </w:tc>
      </w:tr>
      <w:tr w:rsidR="00D33FB4" w:rsidRPr="00BA73E9" w:rsidTr="00B71A16">
        <w:trPr>
          <w:jc w:val="center"/>
        </w:trPr>
        <w:tc>
          <w:tcPr>
            <w:tcW w:w="2191" w:type="dxa"/>
            <w:tcBorders>
              <w:bottom w:val="single" w:sz="4" w:space="0" w:color="auto"/>
            </w:tcBorders>
            <w:shd w:val="clear" w:color="auto" w:fill="FFFFFF" w:themeFill="background1"/>
            <w:tcMar>
              <w:top w:w="58" w:type="dxa"/>
              <w:left w:w="115" w:type="dxa"/>
              <w:bottom w:w="58" w:type="dxa"/>
              <w:right w:w="115" w:type="dxa"/>
            </w:tcMar>
            <w:vAlign w:val="center"/>
          </w:tcPr>
          <w:p w:rsidR="00D33FB4" w:rsidRPr="00BA73E9" w:rsidRDefault="00D33FB4" w:rsidP="00DD49FC">
            <w:pPr>
              <w:widowControl/>
              <w:spacing w:after="0"/>
              <w:jc w:val="left"/>
              <w:rPr>
                <w:sz w:val="20"/>
              </w:rPr>
            </w:pPr>
            <w:r w:rsidRPr="00BA73E9">
              <w:rPr>
                <w:sz w:val="20"/>
              </w:rPr>
              <w:t>Thomas R. Wright</w:t>
            </w:r>
          </w:p>
        </w:tc>
        <w:tc>
          <w:tcPr>
            <w:tcW w:w="6825" w:type="dxa"/>
            <w:tcBorders>
              <w:bottom w:val="single" w:sz="4" w:space="0" w:color="auto"/>
            </w:tcBorders>
            <w:shd w:val="clear" w:color="auto" w:fill="FFFFFF" w:themeFill="background1"/>
            <w:tcMar>
              <w:top w:w="58" w:type="dxa"/>
              <w:left w:w="115" w:type="dxa"/>
              <w:bottom w:w="58" w:type="dxa"/>
              <w:right w:w="115" w:type="dxa"/>
            </w:tcMar>
            <w:vAlign w:val="center"/>
          </w:tcPr>
          <w:p w:rsidR="00D33FB4" w:rsidRPr="00BA73E9" w:rsidRDefault="00D33FB4" w:rsidP="0045733F">
            <w:pPr>
              <w:widowControl/>
              <w:spacing w:after="0"/>
              <w:jc w:val="left"/>
              <w:rPr>
                <w:sz w:val="20"/>
              </w:rPr>
            </w:pPr>
            <w:r w:rsidRPr="00BA73E9">
              <w:rPr>
                <w:sz w:val="20"/>
              </w:rPr>
              <w:t>Executive Vice President &amp; Chief Financial Officer</w:t>
            </w:r>
            <w:r w:rsidR="0045733F">
              <w:rPr>
                <w:sz w:val="20"/>
              </w:rPr>
              <w:t xml:space="preserve"> (January </w:t>
            </w:r>
            <w:r w:rsidR="00881C50">
              <w:rPr>
                <w:sz w:val="20"/>
              </w:rPr>
              <w:t>1 –</w:t>
            </w:r>
            <w:r w:rsidR="0045733F">
              <w:rPr>
                <w:sz w:val="20"/>
              </w:rPr>
              <w:t xml:space="preserve"> July</w:t>
            </w:r>
            <w:r w:rsidR="00881C50">
              <w:rPr>
                <w:sz w:val="20"/>
              </w:rPr>
              <w:t xml:space="preserve"> 3</w:t>
            </w:r>
            <w:r w:rsidR="0045733F">
              <w:rPr>
                <w:sz w:val="20"/>
              </w:rPr>
              <w:t>, 2015)</w:t>
            </w:r>
          </w:p>
        </w:tc>
      </w:tr>
    </w:tbl>
    <w:p w:rsidR="00871B0A" w:rsidRDefault="00871B0A" w:rsidP="00016F12">
      <w:pPr>
        <w:widowControl/>
        <w:spacing w:before="240" w:after="60"/>
        <w:jc w:val="left"/>
      </w:pPr>
      <w:bookmarkStart w:id="89" w:name="_Toc445739584"/>
      <w:bookmarkStart w:id="90" w:name="_Toc381354148"/>
      <w:r w:rsidRPr="00281CFC">
        <w:rPr>
          <w:rStyle w:val="002ProxyChar"/>
        </w:rPr>
        <w:t>Compensation Discussion and Analysis</w:t>
      </w:r>
      <w:bookmarkEnd w:id="89"/>
      <w:r w:rsidRPr="00047D33">
        <w:t>.</w:t>
      </w:r>
      <w:r>
        <w:t xml:space="preserve">  This discussion and analysis of executive compensation covers the compensation awarded to, earned by, or paid to the named executive officers.  It covers the material elements of their compensation, including the following:  </w:t>
      </w:r>
    </w:p>
    <w:p w:rsidR="00871B0A" w:rsidRDefault="00871B0A" w:rsidP="00016F12">
      <w:pPr>
        <w:pStyle w:val="ListParagraph"/>
        <w:widowControl/>
        <w:numPr>
          <w:ilvl w:val="0"/>
          <w:numId w:val="18"/>
        </w:numPr>
        <w:spacing w:after="60"/>
        <w:contextualSpacing w:val="0"/>
        <w:jc w:val="left"/>
      </w:pPr>
      <w:r>
        <w:t>The objectives of the Company's compensation programs and what they are designed to reward;</w:t>
      </w:r>
    </w:p>
    <w:p w:rsidR="00871B0A" w:rsidRDefault="00871B0A" w:rsidP="00016F12">
      <w:pPr>
        <w:pStyle w:val="ListParagraph"/>
        <w:widowControl/>
        <w:numPr>
          <w:ilvl w:val="0"/>
          <w:numId w:val="18"/>
        </w:numPr>
        <w:spacing w:after="60"/>
        <w:contextualSpacing w:val="0"/>
        <w:jc w:val="left"/>
      </w:pPr>
      <w:r>
        <w:t>The elements of the named executive officers' compensation</w:t>
      </w:r>
      <w:r w:rsidR="008E121B">
        <w:t>,</w:t>
      </w:r>
      <w:r>
        <w:t xml:space="preserve"> and why the Compensation Committee has chosen those element</w:t>
      </w:r>
      <w:r w:rsidR="00653ECF">
        <w:t>s</w:t>
      </w:r>
      <w:r>
        <w:t>;</w:t>
      </w:r>
    </w:p>
    <w:p w:rsidR="00871B0A" w:rsidRDefault="00871B0A" w:rsidP="00016F12">
      <w:pPr>
        <w:pStyle w:val="ListParagraph"/>
        <w:widowControl/>
        <w:numPr>
          <w:ilvl w:val="0"/>
          <w:numId w:val="18"/>
        </w:numPr>
        <w:spacing w:after="60"/>
        <w:contextualSpacing w:val="0"/>
        <w:jc w:val="left"/>
      </w:pPr>
      <w:r>
        <w:t xml:space="preserve">How the amounts and compensation formulas were </w:t>
      </w:r>
      <w:r w:rsidR="00AF55A3">
        <w:t>determined, and how they fit in</w:t>
      </w:r>
      <w:r>
        <w:t>to the Company's overall compensation objectives; and</w:t>
      </w:r>
    </w:p>
    <w:p w:rsidR="00871B0A" w:rsidRDefault="003E2893" w:rsidP="003E2893">
      <w:pPr>
        <w:pStyle w:val="ListParagraph"/>
        <w:widowControl/>
        <w:numPr>
          <w:ilvl w:val="0"/>
          <w:numId w:val="18"/>
        </w:numPr>
        <w:contextualSpacing w:val="0"/>
        <w:jc w:val="left"/>
      </w:pPr>
      <w:r w:rsidRPr="003E2893">
        <w:t xml:space="preserve">The results of the most recent </w:t>
      </w:r>
      <w:r w:rsidR="004A6D64">
        <w:t>stockholder</w:t>
      </w:r>
      <w:r w:rsidRPr="003E2893">
        <w:t xml:space="preserve"> advisory vote on executive compensation</w:t>
      </w:r>
      <w:r>
        <w:t>.</w:t>
      </w:r>
    </w:p>
    <w:p w:rsidR="00871B0A" w:rsidRDefault="00871B0A" w:rsidP="00016F12">
      <w:pPr>
        <w:spacing w:after="60"/>
        <w:jc w:val="left"/>
      </w:pPr>
      <w:bookmarkStart w:id="91" w:name="_Toc445739585"/>
      <w:r w:rsidRPr="009E3DC7">
        <w:rPr>
          <w:rStyle w:val="003ProxyChar"/>
        </w:rPr>
        <w:t>The objectives of the Company's compensation programs</w:t>
      </w:r>
      <w:bookmarkEnd w:id="91"/>
      <w:r w:rsidRPr="00AF3F1F">
        <w:rPr>
          <w:b/>
          <w:i/>
        </w:rPr>
        <w:t xml:space="preserve"> and what </w:t>
      </w:r>
      <w:r>
        <w:rPr>
          <w:b/>
          <w:i/>
        </w:rPr>
        <w:t>they are</w:t>
      </w:r>
      <w:r w:rsidRPr="00AF3F1F">
        <w:rPr>
          <w:b/>
          <w:i/>
        </w:rPr>
        <w:t xml:space="preserve"> designed to reward</w:t>
      </w:r>
      <w:r>
        <w:t xml:space="preserve">.  The Compensation Committee of the Board of Directors, which is currently composed of </w:t>
      </w:r>
      <w:r w:rsidR="003A4567">
        <w:t xml:space="preserve">three </w:t>
      </w:r>
      <w:r w:rsidR="007F6D96">
        <w:t>directors</w:t>
      </w:r>
      <w:r w:rsidR="002E1A42">
        <w:t xml:space="preserve">, </w:t>
      </w:r>
      <w:r w:rsidR="00184D36">
        <w:t xml:space="preserve">all of whom are independent, </w:t>
      </w:r>
      <w:r>
        <w:t xml:space="preserve">oversees and approves the compensation of the named executive officers.  The </w:t>
      </w:r>
      <w:r w:rsidR="00184D36">
        <w:t xml:space="preserve">Committee's </w:t>
      </w:r>
      <w:r>
        <w:t xml:space="preserve">compensation objectives </w:t>
      </w:r>
      <w:r w:rsidR="00FA58AD">
        <w:t xml:space="preserve">are </w:t>
      </w:r>
      <w:r>
        <w:t>as follows:</w:t>
      </w:r>
      <w:r w:rsidR="00D33232">
        <w:t xml:space="preserve">  </w:t>
      </w:r>
    </w:p>
    <w:p w:rsidR="00871B0A" w:rsidRDefault="00871B0A" w:rsidP="00016F12">
      <w:pPr>
        <w:pStyle w:val="ListParagraph"/>
        <w:widowControl/>
        <w:numPr>
          <w:ilvl w:val="0"/>
          <w:numId w:val="13"/>
        </w:numPr>
        <w:spacing w:after="60"/>
        <w:ind w:left="720"/>
        <w:contextualSpacing w:val="0"/>
        <w:jc w:val="left"/>
      </w:pPr>
      <w:r>
        <w:t xml:space="preserve">To provide a rate of pay for the work </w:t>
      </w:r>
      <w:r w:rsidR="006E0C9A">
        <w:t>t</w:t>
      </w:r>
      <w:r>
        <w:t xml:space="preserve">he </w:t>
      </w:r>
      <w:r w:rsidR="006E0C9A">
        <w:t xml:space="preserve">executive </w:t>
      </w:r>
      <w:r>
        <w:t xml:space="preserve">does that is appropriate in comparison to similar companies in the industry, and that is considered fair by the executive and the </w:t>
      </w:r>
      <w:r w:rsidR="00184D36">
        <w:t>Committee</w:t>
      </w:r>
      <w:r>
        <w:t xml:space="preserve">; </w:t>
      </w:r>
    </w:p>
    <w:p w:rsidR="00871B0A" w:rsidRDefault="00871B0A" w:rsidP="00016F12">
      <w:pPr>
        <w:pStyle w:val="ListParagraph"/>
        <w:widowControl/>
        <w:numPr>
          <w:ilvl w:val="0"/>
          <w:numId w:val="13"/>
        </w:numPr>
        <w:spacing w:after="60"/>
        <w:ind w:left="720"/>
        <w:contextualSpacing w:val="0"/>
        <w:jc w:val="left"/>
      </w:pPr>
      <w:r>
        <w:t>To give the executive a significant incentive to perform at a high level, to reward that performance</w:t>
      </w:r>
      <w:r w:rsidR="00DE6DA8">
        <w:t xml:space="preserve"> if achieved</w:t>
      </w:r>
      <w:r w:rsidR="006E0C9A">
        <w:t>,</w:t>
      </w:r>
      <w:r>
        <w:t xml:space="preserve"> and thereby to contribute to the Company's financial success; </w:t>
      </w:r>
    </w:p>
    <w:p w:rsidR="00871B0A" w:rsidRDefault="00871B0A" w:rsidP="00016F12">
      <w:pPr>
        <w:pStyle w:val="ListParagraph"/>
        <w:widowControl/>
        <w:numPr>
          <w:ilvl w:val="0"/>
          <w:numId w:val="13"/>
        </w:numPr>
        <w:spacing w:after="60"/>
        <w:ind w:left="720"/>
        <w:contextualSpacing w:val="0"/>
        <w:jc w:val="left"/>
      </w:pPr>
      <w:r>
        <w:t xml:space="preserve">To give the executive an incentive to remain with the Company; and </w:t>
      </w:r>
    </w:p>
    <w:p w:rsidR="00871B0A" w:rsidRDefault="00871B0A" w:rsidP="00C22879">
      <w:pPr>
        <w:pStyle w:val="ListParagraph"/>
        <w:widowControl/>
        <w:numPr>
          <w:ilvl w:val="0"/>
          <w:numId w:val="13"/>
        </w:numPr>
        <w:ind w:left="720"/>
        <w:contextualSpacing w:val="0"/>
        <w:jc w:val="left"/>
      </w:pPr>
      <w:r>
        <w:t>In the case of newly-hired executives, to provide the</w:t>
      </w:r>
      <w:r w:rsidR="00AF75D2">
        <w:t>m</w:t>
      </w:r>
      <w:r>
        <w:t xml:space="preserve"> with an incentive to leave a prior employer and join the Company, and in some cases, </w:t>
      </w:r>
      <w:r w:rsidR="00DA68C8">
        <w:t xml:space="preserve">also </w:t>
      </w:r>
      <w:r>
        <w:t>to relocate.</w:t>
      </w:r>
    </w:p>
    <w:p w:rsidR="00871B0A" w:rsidRDefault="00871B0A" w:rsidP="00016F12">
      <w:pPr>
        <w:keepNext/>
        <w:widowControl/>
        <w:spacing w:after="40"/>
        <w:jc w:val="left"/>
      </w:pPr>
      <w:bookmarkStart w:id="92" w:name="_Toc445739586"/>
      <w:r w:rsidRPr="009E3DC7">
        <w:rPr>
          <w:rStyle w:val="003ProxyChar"/>
        </w:rPr>
        <w:t xml:space="preserve">The elements of </w:t>
      </w:r>
      <w:r w:rsidR="008272C9" w:rsidRPr="009E3DC7">
        <w:rPr>
          <w:rStyle w:val="003ProxyChar"/>
        </w:rPr>
        <w:t xml:space="preserve">the </w:t>
      </w:r>
      <w:r w:rsidRPr="009E3DC7">
        <w:rPr>
          <w:rStyle w:val="003ProxyChar"/>
        </w:rPr>
        <w:t>named executive officers</w:t>
      </w:r>
      <w:r w:rsidR="008272C9" w:rsidRPr="009E3DC7">
        <w:rPr>
          <w:rStyle w:val="003ProxyChar"/>
        </w:rPr>
        <w:t>'</w:t>
      </w:r>
      <w:r w:rsidRPr="009E3DC7">
        <w:rPr>
          <w:rStyle w:val="003ProxyChar"/>
        </w:rPr>
        <w:t xml:space="preserve"> compensation</w:t>
      </w:r>
      <w:bookmarkEnd w:id="92"/>
      <w:r w:rsidR="009E02CF">
        <w:rPr>
          <w:b/>
          <w:i/>
        </w:rPr>
        <w:t>,</w:t>
      </w:r>
      <w:r w:rsidRPr="00A47B5F">
        <w:rPr>
          <w:b/>
          <w:i/>
        </w:rPr>
        <w:t xml:space="preserve"> and why the Compensation Committee </w:t>
      </w:r>
      <w:r>
        <w:rPr>
          <w:b/>
          <w:i/>
        </w:rPr>
        <w:t>has chosen</w:t>
      </w:r>
      <w:r w:rsidRPr="00A47B5F">
        <w:rPr>
          <w:b/>
          <w:i/>
        </w:rPr>
        <w:t xml:space="preserve"> those element</w:t>
      </w:r>
      <w:r w:rsidR="00D40F49">
        <w:rPr>
          <w:b/>
          <w:i/>
        </w:rPr>
        <w:t>s</w:t>
      </w:r>
      <w:r w:rsidRPr="00A47B5F">
        <w:rPr>
          <w:b/>
          <w:i/>
        </w:rPr>
        <w:t>.</w:t>
      </w:r>
    </w:p>
    <w:p w:rsidR="00871B0A" w:rsidRDefault="00871B0A" w:rsidP="00016F12">
      <w:pPr>
        <w:keepNext/>
        <w:widowControl/>
        <w:spacing w:after="60"/>
        <w:jc w:val="left"/>
      </w:pPr>
      <w:r>
        <w:t>Ex</w:t>
      </w:r>
      <w:r w:rsidR="000D702E">
        <w:t>cept as noted</w:t>
      </w:r>
      <w:r w:rsidR="002B3CDF">
        <w:t xml:space="preserve"> otherwise</w:t>
      </w:r>
      <w:r w:rsidR="000D702E">
        <w:t>, ex</w:t>
      </w:r>
      <w:r>
        <w:t>ecutives are compensated through annual salaries and an incentive compensation arrangement or plan</w:t>
      </w:r>
      <w:r w:rsidR="00226B25">
        <w:t xml:space="preserve">. </w:t>
      </w:r>
      <w:r>
        <w:t xml:space="preserve"> </w:t>
      </w:r>
      <w:r w:rsidR="00226B25">
        <w:t xml:space="preserve">Annual salaries are designed to compensate the executive for the performance of his </w:t>
      </w:r>
      <w:r w:rsidR="00075D7D">
        <w:t xml:space="preserve">or her </w:t>
      </w:r>
      <w:r w:rsidR="00226B25">
        <w:t xml:space="preserve">day-to-day responsibilities.  The incentive compensation arrangements are designed to give </w:t>
      </w:r>
      <w:r w:rsidR="00E069D2">
        <w:t>the</w:t>
      </w:r>
      <w:r w:rsidR="00226B25">
        <w:t xml:space="preserve"> executives</w:t>
      </w:r>
      <w:r w:rsidR="00E069D2">
        <w:t xml:space="preserve"> the opportunity </w:t>
      </w:r>
      <w:r>
        <w:t xml:space="preserve">to earn additional compensation </w:t>
      </w:r>
      <w:r w:rsidR="0002031D">
        <w:t>(</w:t>
      </w:r>
      <w:r w:rsidR="00DE1D81">
        <w:t xml:space="preserve">a portion of which is </w:t>
      </w:r>
      <w:r w:rsidR="00093134">
        <w:t xml:space="preserve">to be </w:t>
      </w:r>
      <w:r w:rsidR="00DE1D81">
        <w:t xml:space="preserve">paid in </w:t>
      </w:r>
      <w:r>
        <w:t>shares of the Company's common stock</w:t>
      </w:r>
      <w:r w:rsidR="0002031D">
        <w:t>)</w:t>
      </w:r>
      <w:r w:rsidR="00226B25">
        <w:t xml:space="preserve"> if certain goals are met</w:t>
      </w:r>
      <w:r>
        <w:t xml:space="preserve">.  </w:t>
      </w:r>
    </w:p>
    <w:p w:rsidR="00871B0A" w:rsidRDefault="00093612" w:rsidP="003F3624">
      <w:pPr>
        <w:widowControl/>
        <w:spacing w:after="60"/>
        <w:jc w:val="left"/>
      </w:pPr>
      <w:r>
        <w:rPr>
          <w:i/>
        </w:rPr>
        <w:t xml:space="preserve">Performance-Based </w:t>
      </w:r>
      <w:r w:rsidR="000F2AF2" w:rsidRPr="000F2AF2">
        <w:rPr>
          <w:i/>
        </w:rPr>
        <w:t>Incentive Compensation</w:t>
      </w:r>
      <w:r w:rsidR="000F2AF2">
        <w:t xml:space="preserve">.  </w:t>
      </w:r>
      <w:r w:rsidR="007D01BE">
        <w:t>I</w:t>
      </w:r>
      <w:r w:rsidR="00871B0A">
        <w:t xml:space="preserve">ncentive compensation consists of both cash and </w:t>
      </w:r>
      <w:r w:rsidR="00D40021">
        <w:t>Company shares</w:t>
      </w:r>
      <w:r w:rsidR="00871B0A">
        <w:t xml:space="preserve">.  While cash is an obvious incentive, the stock portion of incentive compensation is </w:t>
      </w:r>
      <w:r w:rsidR="00871B0A">
        <w:lastRenderedPageBreak/>
        <w:t xml:space="preserve">designed to encourage executives to take a longer-term perspective in fulfilling their responsibilities, and to </w:t>
      </w:r>
      <w:r w:rsidR="00B03724">
        <w:t>align</w:t>
      </w:r>
      <w:r w:rsidR="006A7CD5">
        <w:t xml:space="preserve"> </w:t>
      </w:r>
      <w:r w:rsidR="00871B0A">
        <w:t xml:space="preserve">their </w:t>
      </w:r>
      <w:r w:rsidR="005352FC">
        <w:t xml:space="preserve">financial </w:t>
      </w:r>
      <w:r w:rsidR="00871B0A">
        <w:t xml:space="preserve">interests with those of the Company's stockholders.  </w:t>
      </w:r>
    </w:p>
    <w:p w:rsidR="00871B0A" w:rsidRDefault="00871B0A" w:rsidP="000B4525">
      <w:pPr>
        <w:widowControl/>
        <w:spacing w:after="60"/>
        <w:jc w:val="left"/>
      </w:pPr>
      <w:r>
        <w:t xml:space="preserve">Incentive compensation is </w:t>
      </w:r>
      <w:r w:rsidR="007D01BE">
        <w:t>performance-</w:t>
      </w:r>
      <w:r>
        <w:t xml:space="preserve">based </w:t>
      </w:r>
      <w:r w:rsidR="005D6C31">
        <w:t xml:space="preserve">because </w:t>
      </w:r>
      <w:r w:rsidR="00B6226B">
        <w:t xml:space="preserve">it </w:t>
      </w:r>
      <w:r w:rsidR="005D6C31">
        <w:t xml:space="preserve">is dependent </w:t>
      </w:r>
      <w:r>
        <w:t xml:space="preserve">on the achievement of Company financial goals and </w:t>
      </w:r>
      <w:r w:rsidR="000F112D">
        <w:t xml:space="preserve">the </w:t>
      </w:r>
      <w:r>
        <w:t>executive</w:t>
      </w:r>
      <w:r w:rsidR="000F112D">
        <w:t>'</w:t>
      </w:r>
      <w:r>
        <w:t xml:space="preserve">s </w:t>
      </w:r>
      <w:r w:rsidR="00954C7E">
        <w:t>individual performance goals</w:t>
      </w:r>
      <w:r w:rsidRPr="00C65086">
        <w:t xml:space="preserve">.  </w:t>
      </w:r>
      <w:r>
        <w:t xml:space="preserve">Financial goals, which for some executives also include operating unit financial goals, tie a portion of incentive </w:t>
      </w:r>
      <w:r w:rsidR="00FF433A">
        <w:t xml:space="preserve">compensation </w:t>
      </w:r>
      <w:r>
        <w:t xml:space="preserve">to the team effort required for Company-wide success, while the </w:t>
      </w:r>
      <w:r w:rsidR="00954C7E">
        <w:t xml:space="preserve">individual performance goals </w:t>
      </w:r>
      <w:r w:rsidR="0029495B">
        <w:t xml:space="preserve">are designed to </w:t>
      </w:r>
      <w:r>
        <w:t xml:space="preserve">concentrate the executives' attention on their </w:t>
      </w:r>
      <w:r w:rsidR="00DF6742">
        <w:t xml:space="preserve">own </w:t>
      </w:r>
      <w:r>
        <w:t>contribution</w:t>
      </w:r>
      <w:r w:rsidR="00E46192">
        <w:t>s</w:t>
      </w:r>
      <w:r>
        <w:t xml:space="preserve"> to the overall effort.</w:t>
      </w:r>
    </w:p>
    <w:p w:rsidR="003A4567" w:rsidRDefault="00A4411A" w:rsidP="00016F12">
      <w:pPr>
        <w:widowControl/>
        <w:spacing w:after="60"/>
        <w:jc w:val="left"/>
      </w:pPr>
      <w:r w:rsidRPr="000F2AF2">
        <w:rPr>
          <w:i/>
        </w:rPr>
        <w:t>Change-in-Control Agreements.</w:t>
      </w:r>
      <w:r w:rsidRPr="00CA7CDB">
        <w:t xml:space="preserve">  </w:t>
      </w:r>
      <w:r w:rsidR="003A4567">
        <w:t xml:space="preserve">The Company </w:t>
      </w:r>
      <w:r w:rsidR="000B4525">
        <w:t xml:space="preserve">does not currently have a </w:t>
      </w:r>
      <w:r w:rsidR="00D40021">
        <w:t xml:space="preserve">change </w:t>
      </w:r>
      <w:r w:rsidR="000B4525">
        <w:t>in</w:t>
      </w:r>
      <w:r w:rsidR="00D40021">
        <w:t xml:space="preserve"> control agreement with any employee</w:t>
      </w:r>
      <w:r w:rsidR="003A4567">
        <w:t xml:space="preserve">.  </w:t>
      </w:r>
      <w:r w:rsidR="00D40021">
        <w:t xml:space="preserve">However, it is the Committee's policy to provide that </w:t>
      </w:r>
      <w:r w:rsidR="003A4567">
        <w:t xml:space="preserve">restrictions on outstanding restricted stock lapse in the event of a change in control because the Committee believes </w:t>
      </w:r>
      <w:r w:rsidR="003A4567" w:rsidRPr="0030397C">
        <w:t xml:space="preserve">that the </w:t>
      </w:r>
      <w:r w:rsidR="00D40021">
        <w:t xml:space="preserve">adverse </w:t>
      </w:r>
      <w:r w:rsidR="003A4567" w:rsidRPr="0030397C">
        <w:t xml:space="preserve">effect </w:t>
      </w:r>
      <w:r w:rsidR="0030397C">
        <w:t>on non-transferable stock held by employees</w:t>
      </w:r>
      <w:r w:rsidR="00D40021">
        <w:t xml:space="preserve"> when a change in control occurs</w:t>
      </w:r>
      <w:r w:rsidR="0030397C">
        <w:t xml:space="preserve">, particularly in a public company, can be significant.  </w:t>
      </w:r>
      <w:r w:rsidR="00D40021">
        <w:t>T</w:t>
      </w:r>
      <w:r w:rsidR="003B72D3" w:rsidRPr="00CA7CDB">
        <w:t>he Compensation Comm</w:t>
      </w:r>
      <w:r w:rsidR="003B72D3">
        <w:t>ittee believes</w:t>
      </w:r>
      <w:r w:rsidR="003B72D3" w:rsidRPr="00CA7CDB">
        <w:t xml:space="preserve"> that </w:t>
      </w:r>
      <w:r w:rsidR="003A4567">
        <w:t xml:space="preserve">in </w:t>
      </w:r>
      <w:r w:rsidR="00ED4EE3">
        <w:t>the future</w:t>
      </w:r>
      <w:r w:rsidR="000B4525">
        <w:t>,</w:t>
      </w:r>
      <w:r w:rsidR="00ED4EE3">
        <w:t xml:space="preserve"> </w:t>
      </w:r>
      <w:r w:rsidR="00523CE0">
        <w:t>change-in-</w:t>
      </w:r>
      <w:r w:rsidR="003B72D3">
        <w:t>control agreements</w:t>
      </w:r>
      <w:r w:rsidR="00406A16">
        <w:t xml:space="preserve"> </w:t>
      </w:r>
      <w:r w:rsidR="00ED4EE3">
        <w:t xml:space="preserve">may </w:t>
      </w:r>
      <w:r w:rsidR="003A4567">
        <w:t xml:space="preserve">be appropriate for executives </w:t>
      </w:r>
      <w:r w:rsidR="00406A16">
        <w:t>whose employment is likely to be adversely affected by a change in control</w:t>
      </w:r>
      <w:r w:rsidR="00ED4EE3">
        <w:t xml:space="preserve">.  Change-in-control agreements can be </w:t>
      </w:r>
      <w:r w:rsidR="003B72D3" w:rsidRPr="00CA7CDB">
        <w:t xml:space="preserve">in the best interests </w:t>
      </w:r>
      <w:r w:rsidR="003B72D3">
        <w:t>of the Company and its s</w:t>
      </w:r>
      <w:r w:rsidR="006E0C9A">
        <w:t>tock</w:t>
      </w:r>
      <w:r w:rsidR="003B72D3">
        <w:t xml:space="preserve">holders because they </w:t>
      </w:r>
      <w:r w:rsidR="003B72D3" w:rsidRPr="00CA7CDB">
        <w:t xml:space="preserve">provide </w:t>
      </w:r>
      <w:r w:rsidR="00406A16">
        <w:t>the executive</w:t>
      </w:r>
      <w:r w:rsidR="003B72D3">
        <w:t xml:space="preserve"> with a clear incentive to remain neutral as to </w:t>
      </w:r>
      <w:r w:rsidR="00D14F69">
        <w:t>any</w:t>
      </w:r>
      <w:r w:rsidR="003B72D3">
        <w:t xml:space="preserve"> </w:t>
      </w:r>
      <w:r w:rsidR="00D14F69">
        <w:t xml:space="preserve">change-in-control </w:t>
      </w:r>
      <w:r w:rsidR="003B72D3">
        <w:t>transaction</w:t>
      </w:r>
      <w:r w:rsidR="00D14F69">
        <w:t>,</w:t>
      </w:r>
      <w:r w:rsidR="003B72D3">
        <w:t xml:space="preserve"> </w:t>
      </w:r>
      <w:r w:rsidR="002E289D">
        <w:t>should one arise</w:t>
      </w:r>
      <w:r w:rsidR="00ED4EE3">
        <w:t>, and undistracted by concerns as to his or her future employment</w:t>
      </w:r>
      <w:r w:rsidR="002E289D">
        <w:t xml:space="preserve">.  </w:t>
      </w:r>
      <w:r w:rsidR="00ED4EE3">
        <w:t>Generally</w:t>
      </w:r>
      <w:r w:rsidR="00EF597C">
        <w:t>,</w:t>
      </w:r>
      <w:r w:rsidR="00ED4EE3">
        <w:t xml:space="preserve"> the Committee believes that </w:t>
      </w:r>
      <w:r w:rsidR="002E289D">
        <w:t>severance</w:t>
      </w:r>
      <w:r w:rsidR="00C60522">
        <w:t xml:space="preserve"> </w:t>
      </w:r>
      <w:r w:rsidR="00ED4EE3">
        <w:t xml:space="preserve">should only be </w:t>
      </w:r>
      <w:r w:rsidR="002E289D">
        <w:t xml:space="preserve">payable if </w:t>
      </w:r>
      <w:r w:rsidR="00C60522">
        <w:t xml:space="preserve">both </w:t>
      </w:r>
      <w:r w:rsidR="007B5556">
        <w:t>a</w:t>
      </w:r>
      <w:r w:rsidR="002E289D">
        <w:t xml:space="preserve"> </w:t>
      </w:r>
      <w:r w:rsidR="007B5556">
        <w:t xml:space="preserve">change-in-control </w:t>
      </w:r>
      <w:r w:rsidR="002E289D">
        <w:t>transaction is consummated and the executive's employment is terminated without cause</w:t>
      </w:r>
      <w:r w:rsidR="00C60522">
        <w:t xml:space="preserve">.  </w:t>
      </w:r>
    </w:p>
    <w:p w:rsidR="003B72D3" w:rsidRPr="003B72D3" w:rsidRDefault="003A4567" w:rsidP="00016F12">
      <w:pPr>
        <w:widowControl/>
        <w:spacing w:after="60"/>
        <w:jc w:val="left"/>
      </w:pPr>
      <w:r>
        <w:t xml:space="preserve">Having somewhat the same effect </w:t>
      </w:r>
      <w:r w:rsidR="00BA24A8">
        <w:t xml:space="preserve">as change-in-control agreements </w:t>
      </w:r>
      <w:r>
        <w:t>are retention agreements</w:t>
      </w:r>
      <w:r w:rsidR="0056384D">
        <w:t xml:space="preserve"> in which compensation is paid to an employee for remaining with the Company during the negotiation of a change-in-control transaction</w:t>
      </w:r>
      <w:r w:rsidR="000B4525">
        <w:t>.  T</w:t>
      </w:r>
      <w:r>
        <w:t xml:space="preserve">he Committee believes </w:t>
      </w:r>
      <w:r w:rsidR="0056384D">
        <w:t xml:space="preserve">these types of agreements </w:t>
      </w:r>
      <w:r>
        <w:t>are another appropriate way of ensuring an executive remains neutral as to any change-in-control transaction and undistracted by concerns about his or her future employment.</w:t>
      </w:r>
      <w:r w:rsidR="0056384D">
        <w:t xml:space="preserve">  </w:t>
      </w:r>
    </w:p>
    <w:p w:rsidR="00871B0A" w:rsidRDefault="00871B0A" w:rsidP="0030397C">
      <w:pPr>
        <w:spacing w:after="40"/>
        <w:jc w:val="left"/>
      </w:pPr>
      <w:bookmarkStart w:id="93" w:name="_Toc445739587"/>
      <w:r w:rsidRPr="009E3DC7">
        <w:rPr>
          <w:rStyle w:val="003ProxyChar"/>
        </w:rPr>
        <w:t>How the amounts and compensation formulas were determined</w:t>
      </w:r>
      <w:bookmarkEnd w:id="93"/>
      <w:r w:rsidR="00AD1022">
        <w:rPr>
          <w:b/>
          <w:i/>
        </w:rPr>
        <w:t>,</w:t>
      </w:r>
      <w:r w:rsidRPr="00C33F67">
        <w:rPr>
          <w:b/>
          <w:i/>
        </w:rPr>
        <w:t xml:space="preserve"> and how they fit into the Company's overall compensation objectives</w:t>
      </w:r>
      <w:r>
        <w:t xml:space="preserve">.  </w:t>
      </w:r>
    </w:p>
    <w:p w:rsidR="00A80A0D" w:rsidRDefault="00A80A0D" w:rsidP="0030397C">
      <w:pPr>
        <w:spacing w:after="60"/>
        <w:jc w:val="left"/>
      </w:pPr>
      <w:r>
        <w:t>Generally</w:t>
      </w:r>
      <w:r w:rsidR="00927E83">
        <w:t>,</w:t>
      </w:r>
      <w:r>
        <w:t xml:space="preserve"> the amount of an executive's compensation is based </w:t>
      </w:r>
      <w:r w:rsidR="00540FCD">
        <w:t xml:space="preserve">in part </w:t>
      </w:r>
      <w:r>
        <w:t>on a</w:t>
      </w:r>
      <w:r w:rsidR="00540FCD">
        <w:t xml:space="preserve"> determination </w:t>
      </w:r>
      <w:r>
        <w:t xml:space="preserve">of </w:t>
      </w:r>
      <w:r w:rsidR="00AF46F8">
        <w:t xml:space="preserve">comparable </w:t>
      </w:r>
      <w:r>
        <w:t xml:space="preserve">compensation levels in the construction industry and the personal judgement of the members of the Compensation Committee, </w:t>
      </w:r>
      <w:r w:rsidR="00C20415">
        <w:t xml:space="preserve">drawing </w:t>
      </w:r>
      <w:r w:rsidR="00207529">
        <w:t xml:space="preserve">on </w:t>
      </w:r>
      <w:r w:rsidR="00C20415">
        <w:t xml:space="preserve">their own </w:t>
      </w:r>
      <w:r w:rsidR="00AF46F8">
        <w:t xml:space="preserve">business </w:t>
      </w:r>
      <w:r w:rsidR="00C20415">
        <w:t>experience.</w:t>
      </w:r>
      <w:r w:rsidR="002E31BF">
        <w:t xml:space="preserve">  </w:t>
      </w:r>
      <w:r w:rsidR="00540FCD">
        <w:t xml:space="preserve">The Committee attempts to set executives' salaries neither substantially higher nor substantially lower than the median in the industry.  </w:t>
      </w:r>
    </w:p>
    <w:p w:rsidR="003A4567" w:rsidRDefault="003A4567" w:rsidP="0030397C">
      <w:pPr>
        <w:spacing w:after="60"/>
        <w:jc w:val="left"/>
      </w:pPr>
      <w:r>
        <w:rPr>
          <w:i/>
        </w:rPr>
        <w:t xml:space="preserve">Current Executive Officers.  </w:t>
      </w:r>
      <w:r>
        <w:t xml:space="preserve">Mr. Varello's compensation of </w:t>
      </w:r>
      <w:r w:rsidR="004866DD">
        <w:t>one</w:t>
      </w:r>
      <w:r>
        <w:t xml:space="preserve"> dollar per year is unusual, and was adopted at his request to conserve the Company's cash resources and because of his faith in the future of the Company.  His restricted stock award was made in lieu of a cash salary and was submitted to, and approved by, stockholders at the 2015 Annual Meeting of Stockholders.</w:t>
      </w:r>
    </w:p>
    <w:p w:rsidR="003A4567" w:rsidRDefault="000314EB" w:rsidP="000314EB">
      <w:r w:rsidRPr="000314EB">
        <w:t xml:space="preserve">Mr. Ballschmiede served as a consultant to the Company's Audit Committee for several weeks prior to being hired as Chief Financial Officer, for which work he was paid $97,809.  </w:t>
      </w:r>
      <w:r>
        <w:t xml:space="preserve">His </w:t>
      </w:r>
      <w:r w:rsidR="003A4567">
        <w:t xml:space="preserve">compensation </w:t>
      </w:r>
      <w:r>
        <w:t xml:space="preserve">as an employee </w:t>
      </w:r>
      <w:r w:rsidR="003A4567">
        <w:t>was negotiated by him and the Compensation Committee</w:t>
      </w:r>
      <w:r w:rsidR="001F4EEA">
        <w:t xml:space="preserve"> using comp</w:t>
      </w:r>
      <w:r w:rsidR="00736C3C">
        <w:t>arable salaries in the industry,</w:t>
      </w:r>
      <w:r w:rsidR="003A4567">
        <w:t xml:space="preserve"> and reflects his extensive accounting and financial expertise </w:t>
      </w:r>
      <w:r w:rsidR="00736C3C">
        <w:t xml:space="preserve">evidenced </w:t>
      </w:r>
      <w:r w:rsidR="003A4567">
        <w:t>by his distinguished résumé.</w:t>
      </w:r>
      <w:r w:rsidR="00736C3C">
        <w:t xml:space="preserve">  </w:t>
      </w:r>
    </w:p>
    <w:p w:rsidR="003A4567" w:rsidRDefault="001F4EEA" w:rsidP="00371479">
      <w:pPr>
        <w:widowControl/>
        <w:spacing w:after="60"/>
        <w:jc w:val="left"/>
      </w:pPr>
      <w:r w:rsidRPr="001F4EEA">
        <w:t>Mr. Barzun's salary was established in 2006 at $60,000 based on the fact that he would be serving on a part-time basis as the Company's General Counsel; by 201</w:t>
      </w:r>
      <w:r>
        <w:t>3</w:t>
      </w:r>
      <w:r w:rsidRPr="001F4EEA">
        <w:t xml:space="preserve">, it had risen to its current level through merit increases.  </w:t>
      </w:r>
    </w:p>
    <w:p w:rsidR="001F4EEA" w:rsidRDefault="001F4EEA" w:rsidP="000B1DD5">
      <w:pPr>
        <w:widowControl/>
        <w:spacing w:after="60"/>
        <w:jc w:val="left"/>
      </w:pPr>
      <w:r>
        <w:t xml:space="preserve">Mr. Blair's salary was first established when he </w:t>
      </w:r>
      <w:r w:rsidR="00292A81">
        <w:t xml:space="preserve">was hired </w:t>
      </w:r>
      <w:r>
        <w:t>as Chief Financial Officer of the Company's Ralph L. Wadsworth Construction Company, LLC subsidiary</w:t>
      </w:r>
      <w:r w:rsidR="00292A81">
        <w:t xml:space="preserve">.  It has since </w:t>
      </w:r>
      <w:r>
        <w:t xml:space="preserve">been </w:t>
      </w:r>
      <w:r>
        <w:lastRenderedPageBreak/>
        <w:t xml:space="preserve">increased as a result of </w:t>
      </w:r>
      <w:r w:rsidR="0030397C">
        <w:t xml:space="preserve">his assuming </w:t>
      </w:r>
      <w:r w:rsidR="00292A81">
        <w:t xml:space="preserve">the role of the Company's </w:t>
      </w:r>
      <w:r>
        <w:t>Senior Vice President, Corporate Finance</w:t>
      </w:r>
      <w:r w:rsidR="00292A81">
        <w:t>,</w:t>
      </w:r>
      <w:r>
        <w:t xml:space="preserve"> and having served twice as </w:t>
      </w:r>
      <w:r w:rsidR="00292A81">
        <w:t xml:space="preserve">the Company's </w:t>
      </w:r>
      <w:r>
        <w:t>Chief Financial Officer on an interim basis.</w:t>
      </w:r>
    </w:p>
    <w:p w:rsidR="00292A81" w:rsidRPr="003A4567" w:rsidRDefault="00292A81" w:rsidP="000B1DD5">
      <w:pPr>
        <w:keepNext/>
        <w:widowControl/>
        <w:spacing w:after="60"/>
        <w:jc w:val="left"/>
      </w:pPr>
      <w:r w:rsidRPr="00292A81">
        <w:rPr>
          <w:i/>
        </w:rPr>
        <w:t>Former Executive Officers</w:t>
      </w:r>
      <w:r>
        <w:t>.</w:t>
      </w:r>
    </w:p>
    <w:p w:rsidR="00A63B39" w:rsidRDefault="00073521" w:rsidP="000B1DD5">
      <w:pPr>
        <w:keepNext/>
        <w:widowControl/>
        <w:spacing w:after="60"/>
        <w:jc w:val="left"/>
      </w:pPr>
      <w:r>
        <w:t xml:space="preserve">In setting </w:t>
      </w:r>
      <w:r w:rsidR="00362697">
        <w:t xml:space="preserve">Mr. MacKenna's </w:t>
      </w:r>
      <w:r>
        <w:t xml:space="preserve">salary </w:t>
      </w:r>
      <w:r w:rsidR="00DD49FC">
        <w:t xml:space="preserve">in September 2012 </w:t>
      </w:r>
      <w:r>
        <w:t>and making initial restricted stock awards</w:t>
      </w:r>
      <w:r w:rsidR="00362697">
        <w:t xml:space="preserve"> to him</w:t>
      </w:r>
      <w:r>
        <w:t xml:space="preserve">, </w:t>
      </w:r>
      <w:r w:rsidR="00871B0A">
        <w:t>the Compensation Committee took into account his twenty-five years of experience in the construction industry</w:t>
      </w:r>
      <w:r w:rsidR="00AD1022">
        <w:t>;</w:t>
      </w:r>
      <w:r w:rsidR="00871B0A">
        <w:t xml:space="preserve"> the compensation he was being paid by his former employer</w:t>
      </w:r>
      <w:r w:rsidR="00AD1022">
        <w:t>;</w:t>
      </w:r>
      <w:r w:rsidR="00871B0A">
        <w:t xml:space="preserve"> </w:t>
      </w:r>
      <w:r w:rsidR="00AD1022">
        <w:t xml:space="preserve">chief executive officer </w:t>
      </w:r>
      <w:r w:rsidR="00871B0A">
        <w:t>compensation levels at similar companies</w:t>
      </w:r>
      <w:r w:rsidR="00AD1022">
        <w:t>;</w:t>
      </w:r>
      <w:r w:rsidR="00871B0A" w:rsidRPr="00AF1DDD">
        <w:t xml:space="preserve"> </w:t>
      </w:r>
      <w:r w:rsidR="00871B0A">
        <w:t xml:space="preserve">the desirability of having the Chief Executive Officer of the Company own stock </w:t>
      </w:r>
      <w:r w:rsidR="00AD1022">
        <w:t>in</w:t>
      </w:r>
      <w:r w:rsidR="00871B0A">
        <w:t xml:space="preserve"> the Company as a long-term incentive</w:t>
      </w:r>
      <w:r w:rsidR="00AD1022">
        <w:t>;</w:t>
      </w:r>
      <w:r w:rsidR="00871B0A">
        <w:t xml:space="preserve"> the fact that Mr.</w:t>
      </w:r>
      <w:r w:rsidR="00292A81">
        <w:t> </w:t>
      </w:r>
      <w:r w:rsidR="00871B0A">
        <w:t>MacKenna would be required to move hi</w:t>
      </w:r>
      <w:r w:rsidR="00AD1022">
        <w:t>s family from New York to Texas;</w:t>
      </w:r>
      <w:r w:rsidR="00871B0A">
        <w:t xml:space="preserve"> his compensation requests</w:t>
      </w:r>
      <w:r w:rsidR="00AD1022">
        <w:t>;</w:t>
      </w:r>
      <w:r w:rsidR="00871B0A">
        <w:t xml:space="preserve"> and the fact that </w:t>
      </w:r>
      <w:r w:rsidR="00AF46F8">
        <w:t xml:space="preserve">by joining the Company, </w:t>
      </w:r>
      <w:r w:rsidR="00871B0A">
        <w:t xml:space="preserve">he would be giving up incentive compensation at his prior employer.  </w:t>
      </w:r>
    </w:p>
    <w:p w:rsidR="004820CE" w:rsidRDefault="00871B0A" w:rsidP="00942753">
      <w:pPr>
        <w:spacing w:after="60"/>
        <w:jc w:val="left"/>
      </w:pPr>
      <w:r>
        <w:t xml:space="preserve">In establishing </w:t>
      </w:r>
      <w:r w:rsidRPr="003902DC">
        <w:t>Mr.</w:t>
      </w:r>
      <w:r w:rsidR="00400C58">
        <w:t> </w:t>
      </w:r>
      <w:r w:rsidRPr="003902DC">
        <w:t>Wright</w:t>
      </w:r>
      <w:r>
        <w:t>'</w:t>
      </w:r>
      <w:r w:rsidRPr="003902DC">
        <w:t>s salary</w:t>
      </w:r>
      <w:r>
        <w:t>,</w:t>
      </w:r>
      <w:r w:rsidRPr="003902DC">
        <w:t xml:space="preserve"> </w:t>
      </w:r>
      <w:r>
        <w:t xml:space="preserve">the Compensation Committee obtained salary information </w:t>
      </w:r>
      <w:r w:rsidR="00CB0616">
        <w:t>from four different sources about</w:t>
      </w:r>
      <w:r>
        <w:t xml:space="preserve"> public-company chief financial officers in the Houston area and in the heavy civil construction industry</w:t>
      </w:r>
      <w:r w:rsidRPr="003902DC">
        <w:t xml:space="preserve">.  </w:t>
      </w:r>
      <w:r>
        <w:t xml:space="preserve">The information was then reviewed and validated by the search firm </w:t>
      </w:r>
      <w:r w:rsidR="00CB0616">
        <w:t xml:space="preserve">that </w:t>
      </w:r>
      <w:r>
        <w:t xml:space="preserve">the Company had employed to identify chief financial officer candidates.  </w:t>
      </w:r>
    </w:p>
    <w:p w:rsidR="00292A81" w:rsidRDefault="00871B0A" w:rsidP="00292A81">
      <w:pPr>
        <w:spacing w:after="60"/>
        <w:jc w:val="left"/>
      </w:pPr>
      <w:r>
        <w:t>Mr.</w:t>
      </w:r>
      <w:r w:rsidR="000A794D">
        <w:t> </w:t>
      </w:r>
      <w:r>
        <w:t>Wright's incentive compensation for 201</w:t>
      </w:r>
      <w:r w:rsidR="0030397C">
        <w:t>5</w:t>
      </w:r>
      <w:r>
        <w:t xml:space="preserve"> was </w:t>
      </w:r>
      <w:r w:rsidR="004820CE">
        <w:t xml:space="preserve">based on </w:t>
      </w:r>
      <w:r>
        <w:t xml:space="preserve">the Company's </w:t>
      </w:r>
      <w:r w:rsidR="0030397C">
        <w:t xml:space="preserve">short-term and long-term </w:t>
      </w:r>
      <w:r w:rsidR="002F240B">
        <w:t>incentive compensation plans</w:t>
      </w:r>
      <w:r w:rsidR="0030397C">
        <w:t xml:space="preserve">.  The plan had </w:t>
      </w:r>
      <w:r w:rsidR="002F240B">
        <w:t>a</w:t>
      </w:r>
      <w:r w:rsidR="00451EC4">
        <w:t xml:space="preserve"> short-term </w:t>
      </w:r>
      <w:r w:rsidR="002F240B">
        <w:t xml:space="preserve">incentive payable in cash based on </w:t>
      </w:r>
      <w:r w:rsidR="0030397C">
        <w:t xml:space="preserve">the achievement of </w:t>
      </w:r>
      <w:r w:rsidR="00954C7E">
        <w:t xml:space="preserve">individual performance goals </w:t>
      </w:r>
      <w:r w:rsidR="0030397C">
        <w:t>by Mr. Wright himself</w:t>
      </w:r>
      <w:r w:rsidR="00EB7582">
        <w:t xml:space="preserve"> and</w:t>
      </w:r>
      <w:r w:rsidR="0030397C">
        <w:t xml:space="preserve"> a</w:t>
      </w:r>
      <w:r w:rsidR="002F240B">
        <w:t xml:space="preserve"> Company</w:t>
      </w:r>
      <w:r w:rsidR="0030397C">
        <w:t xml:space="preserve"> earnings-per-share goal, </w:t>
      </w:r>
      <w:r w:rsidR="00EB7582">
        <w:t xml:space="preserve">as well as </w:t>
      </w:r>
      <w:r w:rsidR="002F240B">
        <w:t>a</w:t>
      </w:r>
      <w:r w:rsidR="00451EC4">
        <w:t xml:space="preserve"> long-term</w:t>
      </w:r>
      <w:r w:rsidR="002F240B">
        <w:t xml:space="preserve"> incentive payable </w:t>
      </w:r>
      <w:r w:rsidR="00C75F79">
        <w:t xml:space="preserve">equally </w:t>
      </w:r>
      <w:r w:rsidR="002F240B">
        <w:t>in restricted stock</w:t>
      </w:r>
      <w:r w:rsidR="00C75F79">
        <w:t xml:space="preserve"> and restricted stock units.  The restricted stock </w:t>
      </w:r>
      <w:r w:rsidR="00EB7582">
        <w:t xml:space="preserve">depended on his </w:t>
      </w:r>
      <w:r w:rsidR="00451EC4">
        <w:t xml:space="preserve">remaining with the Company </w:t>
      </w:r>
      <w:r w:rsidR="00EB7582">
        <w:t xml:space="preserve">for </w:t>
      </w:r>
      <w:r w:rsidR="00451EC4">
        <w:t>a three-year period</w:t>
      </w:r>
      <w:r w:rsidR="00EB7582">
        <w:t>,</w:t>
      </w:r>
      <w:r w:rsidR="00451EC4">
        <w:t xml:space="preserve"> and </w:t>
      </w:r>
      <w:r w:rsidR="00C75F79">
        <w:t xml:space="preserve">restricted stock units </w:t>
      </w:r>
      <w:r w:rsidR="00EB7582">
        <w:t xml:space="preserve">depended on the Company </w:t>
      </w:r>
      <w:r w:rsidR="00451EC4">
        <w:t>achieving a total shareholder return goal</w:t>
      </w:r>
      <w:r w:rsidR="00EB7582">
        <w:t xml:space="preserve"> relative to the peer group described below</w:t>
      </w:r>
      <w:r w:rsidR="00C75F79">
        <w:t xml:space="preserve"> in three years</w:t>
      </w:r>
      <w:r w:rsidR="0030397C">
        <w:t>.</w:t>
      </w:r>
      <w:r>
        <w:t xml:space="preserve">  </w:t>
      </w:r>
    </w:p>
    <w:p w:rsidR="003A332F" w:rsidRDefault="00871B0A" w:rsidP="00942753">
      <w:pPr>
        <w:spacing w:after="40"/>
        <w:jc w:val="left"/>
      </w:pPr>
      <w:bookmarkStart w:id="94" w:name="_Toc445739588"/>
      <w:r w:rsidRPr="009E3DC7">
        <w:rPr>
          <w:rStyle w:val="003ProxyChar"/>
        </w:rPr>
        <w:t xml:space="preserve">The </w:t>
      </w:r>
      <w:r w:rsidR="003E2893" w:rsidRPr="009E3DC7">
        <w:rPr>
          <w:rStyle w:val="003ProxyChar"/>
        </w:rPr>
        <w:t xml:space="preserve">results of the </w:t>
      </w:r>
      <w:r w:rsidRPr="009E3DC7">
        <w:rPr>
          <w:rStyle w:val="003ProxyChar"/>
        </w:rPr>
        <w:t xml:space="preserve">most recent </w:t>
      </w:r>
      <w:r w:rsidR="004A6D64">
        <w:rPr>
          <w:rStyle w:val="003ProxyChar"/>
        </w:rPr>
        <w:t>stockholder</w:t>
      </w:r>
      <w:r w:rsidRPr="009E3DC7">
        <w:rPr>
          <w:rStyle w:val="003ProxyChar"/>
        </w:rPr>
        <w:t xml:space="preserve"> advisory vote</w:t>
      </w:r>
      <w:bookmarkEnd w:id="94"/>
      <w:r w:rsidR="003E2893">
        <w:rPr>
          <w:b/>
          <w:i/>
        </w:rPr>
        <w:t xml:space="preserve"> on executive compensation</w:t>
      </w:r>
      <w:r>
        <w:t xml:space="preserve">.  </w:t>
      </w:r>
    </w:p>
    <w:p w:rsidR="00D27674" w:rsidRDefault="000C5DD7" w:rsidP="00D27674">
      <w:pPr>
        <w:jc w:val="left"/>
      </w:pPr>
      <w:r w:rsidRPr="000C5DD7">
        <w:t>The Company conducts annual advisory votes on executive compensation.</w:t>
      </w:r>
      <w:r>
        <w:t xml:space="preserve">  </w:t>
      </w:r>
      <w:r w:rsidR="00D27674">
        <w:t>At the 201</w:t>
      </w:r>
      <w:r w:rsidR="0054227D">
        <w:t>5</w:t>
      </w:r>
      <w:r w:rsidR="00D27674">
        <w:t xml:space="preserve"> Annual Meeting of Stockholders, the vote was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2040"/>
        <w:gridCol w:w="1145"/>
        <w:gridCol w:w="1533"/>
        <w:gridCol w:w="1110"/>
      </w:tblGrid>
      <w:tr w:rsidR="00D27674" w:rsidTr="00443D51">
        <w:trPr>
          <w:jc w:val="center"/>
        </w:trPr>
        <w:tc>
          <w:tcPr>
            <w:tcW w:w="2040" w:type="dxa"/>
            <w:tcMar>
              <w:bottom w:w="0" w:type="dxa"/>
            </w:tcMar>
          </w:tcPr>
          <w:p w:rsidR="00D27674" w:rsidRPr="00847DE4" w:rsidRDefault="00443D51" w:rsidP="00D27674">
            <w:pPr>
              <w:widowControl/>
              <w:spacing w:after="0"/>
              <w:jc w:val="center"/>
              <w:rPr>
                <w:i/>
                <w:sz w:val="22"/>
                <w:szCs w:val="22"/>
              </w:rPr>
            </w:pPr>
            <w:r>
              <w:rPr>
                <w:i/>
                <w:sz w:val="22"/>
                <w:szCs w:val="22"/>
              </w:rPr>
              <w:t xml:space="preserve">Number of </w:t>
            </w:r>
            <w:r w:rsidR="00D27674" w:rsidRPr="00847DE4">
              <w:rPr>
                <w:i/>
                <w:sz w:val="22"/>
                <w:szCs w:val="22"/>
              </w:rPr>
              <w:t>Shares Entitled to Vote</w:t>
            </w:r>
          </w:p>
        </w:tc>
        <w:tc>
          <w:tcPr>
            <w:tcW w:w="1145" w:type="dxa"/>
            <w:tcMar>
              <w:bottom w:w="0" w:type="dxa"/>
            </w:tcMar>
            <w:vAlign w:val="bottom"/>
          </w:tcPr>
          <w:p w:rsidR="00D27674" w:rsidRPr="00847DE4" w:rsidRDefault="00443D51" w:rsidP="00483428">
            <w:pPr>
              <w:widowControl/>
              <w:spacing w:after="0"/>
              <w:jc w:val="center"/>
              <w:rPr>
                <w:i/>
                <w:sz w:val="22"/>
                <w:szCs w:val="22"/>
              </w:rPr>
            </w:pPr>
            <w:r>
              <w:rPr>
                <w:i/>
                <w:sz w:val="22"/>
                <w:szCs w:val="22"/>
              </w:rPr>
              <w:t xml:space="preserve">Voted </w:t>
            </w:r>
            <w:r w:rsidR="00D27674" w:rsidRPr="00847DE4">
              <w:rPr>
                <w:i/>
                <w:sz w:val="22"/>
                <w:szCs w:val="22"/>
              </w:rPr>
              <w:t>For</w:t>
            </w:r>
          </w:p>
        </w:tc>
        <w:tc>
          <w:tcPr>
            <w:tcW w:w="1533" w:type="dxa"/>
            <w:tcMar>
              <w:bottom w:w="0" w:type="dxa"/>
            </w:tcMar>
            <w:vAlign w:val="bottom"/>
          </w:tcPr>
          <w:p w:rsidR="00D27674" w:rsidRPr="00847DE4" w:rsidRDefault="00443D51" w:rsidP="00483428">
            <w:pPr>
              <w:widowControl/>
              <w:spacing w:after="0"/>
              <w:jc w:val="center"/>
              <w:rPr>
                <w:i/>
                <w:sz w:val="22"/>
                <w:szCs w:val="22"/>
              </w:rPr>
            </w:pPr>
            <w:r>
              <w:rPr>
                <w:i/>
                <w:sz w:val="22"/>
                <w:szCs w:val="22"/>
              </w:rPr>
              <w:t xml:space="preserve">Voted </w:t>
            </w:r>
            <w:r w:rsidR="00D27674" w:rsidRPr="00847DE4">
              <w:rPr>
                <w:i/>
                <w:sz w:val="22"/>
                <w:szCs w:val="22"/>
              </w:rPr>
              <w:t>Against</w:t>
            </w:r>
          </w:p>
        </w:tc>
        <w:tc>
          <w:tcPr>
            <w:tcW w:w="1038" w:type="dxa"/>
            <w:tcMar>
              <w:bottom w:w="0" w:type="dxa"/>
            </w:tcMar>
            <w:vAlign w:val="bottom"/>
          </w:tcPr>
          <w:p w:rsidR="00D27674" w:rsidRPr="00847DE4" w:rsidRDefault="00D27674" w:rsidP="00483428">
            <w:pPr>
              <w:widowControl/>
              <w:spacing w:after="0"/>
              <w:jc w:val="center"/>
              <w:rPr>
                <w:i/>
                <w:sz w:val="22"/>
                <w:szCs w:val="22"/>
              </w:rPr>
            </w:pPr>
            <w:r w:rsidRPr="00847DE4">
              <w:rPr>
                <w:i/>
                <w:sz w:val="22"/>
                <w:szCs w:val="22"/>
              </w:rPr>
              <w:t>Abstain</w:t>
            </w:r>
            <w:r w:rsidR="00443D51">
              <w:rPr>
                <w:i/>
                <w:sz w:val="22"/>
                <w:szCs w:val="22"/>
              </w:rPr>
              <w:t>ed</w:t>
            </w:r>
          </w:p>
        </w:tc>
      </w:tr>
      <w:tr w:rsidR="00D27674" w:rsidTr="00443D51">
        <w:trPr>
          <w:jc w:val="center"/>
        </w:trPr>
        <w:tc>
          <w:tcPr>
            <w:tcW w:w="2040" w:type="dxa"/>
            <w:tcMar>
              <w:top w:w="0" w:type="dxa"/>
            </w:tcMar>
          </w:tcPr>
          <w:p w:rsidR="00D27674" w:rsidRPr="00847DE4" w:rsidRDefault="0069369E" w:rsidP="00483428">
            <w:pPr>
              <w:widowControl/>
              <w:spacing w:after="0"/>
              <w:jc w:val="center"/>
              <w:rPr>
                <w:sz w:val="22"/>
                <w:szCs w:val="22"/>
              </w:rPr>
            </w:pPr>
            <w:r w:rsidRPr="0069369E">
              <w:rPr>
                <w:sz w:val="22"/>
                <w:szCs w:val="22"/>
              </w:rPr>
              <w:t>13,173,921</w:t>
            </w:r>
          </w:p>
        </w:tc>
        <w:tc>
          <w:tcPr>
            <w:tcW w:w="1145" w:type="dxa"/>
            <w:tcMar>
              <w:top w:w="0" w:type="dxa"/>
            </w:tcMar>
          </w:tcPr>
          <w:p w:rsidR="00D27674" w:rsidRPr="00847DE4" w:rsidRDefault="00570D72" w:rsidP="00483428">
            <w:pPr>
              <w:widowControl/>
              <w:spacing w:after="0"/>
              <w:jc w:val="center"/>
              <w:rPr>
                <w:sz w:val="22"/>
                <w:szCs w:val="22"/>
              </w:rPr>
            </w:pPr>
            <w:r>
              <w:rPr>
                <w:sz w:val="22"/>
                <w:szCs w:val="22"/>
              </w:rPr>
              <w:t>95</w:t>
            </w:r>
            <w:r w:rsidR="00D27674" w:rsidRPr="00847DE4">
              <w:rPr>
                <w:sz w:val="22"/>
                <w:szCs w:val="22"/>
              </w:rPr>
              <w:t>%</w:t>
            </w:r>
          </w:p>
        </w:tc>
        <w:tc>
          <w:tcPr>
            <w:tcW w:w="1533" w:type="dxa"/>
            <w:tcMar>
              <w:top w:w="0" w:type="dxa"/>
            </w:tcMar>
          </w:tcPr>
          <w:p w:rsidR="00D27674" w:rsidRPr="00847DE4" w:rsidRDefault="00570D72" w:rsidP="00483428">
            <w:pPr>
              <w:widowControl/>
              <w:spacing w:after="0"/>
              <w:jc w:val="center"/>
              <w:rPr>
                <w:sz w:val="22"/>
                <w:szCs w:val="22"/>
              </w:rPr>
            </w:pPr>
            <w:r>
              <w:rPr>
                <w:sz w:val="22"/>
                <w:szCs w:val="22"/>
              </w:rPr>
              <w:t>2.2</w:t>
            </w:r>
            <w:r w:rsidR="00D27674" w:rsidRPr="00847DE4">
              <w:rPr>
                <w:sz w:val="22"/>
                <w:szCs w:val="22"/>
              </w:rPr>
              <w:t>%</w:t>
            </w:r>
          </w:p>
        </w:tc>
        <w:tc>
          <w:tcPr>
            <w:tcW w:w="1038" w:type="dxa"/>
            <w:tcMar>
              <w:top w:w="0" w:type="dxa"/>
            </w:tcMar>
          </w:tcPr>
          <w:p w:rsidR="00D27674" w:rsidRPr="00847DE4" w:rsidRDefault="00570D72" w:rsidP="00483428">
            <w:pPr>
              <w:widowControl/>
              <w:spacing w:after="0"/>
              <w:jc w:val="center"/>
              <w:rPr>
                <w:sz w:val="22"/>
                <w:szCs w:val="22"/>
              </w:rPr>
            </w:pPr>
            <w:r>
              <w:rPr>
                <w:sz w:val="22"/>
                <w:szCs w:val="22"/>
              </w:rPr>
              <w:t>2.3</w:t>
            </w:r>
            <w:r w:rsidR="00D27674" w:rsidRPr="00847DE4">
              <w:rPr>
                <w:sz w:val="22"/>
                <w:szCs w:val="22"/>
              </w:rPr>
              <w:t>%</w:t>
            </w:r>
          </w:p>
        </w:tc>
      </w:tr>
    </w:tbl>
    <w:p w:rsidR="00871B0A" w:rsidRDefault="00871B0A" w:rsidP="00672977">
      <w:pPr>
        <w:spacing w:before="100" w:after="60"/>
        <w:jc w:val="left"/>
      </w:pPr>
      <w:r>
        <w:t xml:space="preserve">The Compensation Committee believes that this vote indicates general </w:t>
      </w:r>
      <w:r w:rsidR="004A6D64">
        <w:t>stockholder</w:t>
      </w:r>
      <w:r>
        <w:t xml:space="preserve"> satisfaction with the Company's </w:t>
      </w:r>
      <w:r w:rsidR="00AE0900">
        <w:t xml:space="preserve">executive </w:t>
      </w:r>
      <w:r w:rsidR="00253D07" w:rsidRPr="00253D07">
        <w:t>compensation policies and decisions</w:t>
      </w:r>
      <w:r w:rsidR="00253D07">
        <w:t xml:space="preserve">.  </w:t>
      </w:r>
      <w:r w:rsidR="00544E74">
        <w:t>In the event that stockholders do not approve executive compensation for a given year, the Compensation Committee will review its decisions on compensation structure and levels</w:t>
      </w:r>
      <w:r w:rsidR="00AA4130">
        <w:t>,</w:t>
      </w:r>
      <w:r w:rsidR="00544E74">
        <w:t xml:space="preserve"> as well as the comparability of the executives' compensation to that of a peer group of companies</w:t>
      </w:r>
      <w:r w:rsidR="00AB78E8">
        <w:t>,</w:t>
      </w:r>
      <w:r w:rsidR="00544E74">
        <w:t xml:space="preserve"> before deciding whether to make any change in the compensation of one or more of the executives.  </w:t>
      </w:r>
    </w:p>
    <w:p w:rsidR="003A3D69" w:rsidRPr="00F41E45" w:rsidRDefault="00780D98" w:rsidP="003A3D69">
      <w:pPr>
        <w:jc w:val="left"/>
        <w:rPr>
          <w:szCs w:val="23"/>
        </w:rPr>
      </w:pPr>
      <w:bookmarkStart w:id="95" w:name="_Toc414520922"/>
      <w:bookmarkStart w:id="96" w:name="_Toc445739589"/>
      <w:r w:rsidRPr="00385EC6">
        <w:rPr>
          <w:rStyle w:val="003ProxyChar"/>
        </w:rPr>
        <w:t>New</w:t>
      </w:r>
      <w:r w:rsidR="00173C6B" w:rsidRPr="00385EC6">
        <w:rPr>
          <w:rStyle w:val="003ProxyChar"/>
        </w:rPr>
        <w:t xml:space="preserve"> incentive compensation arrangements</w:t>
      </w:r>
      <w:r w:rsidRPr="00385EC6">
        <w:rPr>
          <w:rStyle w:val="003ProxyChar"/>
        </w:rPr>
        <w:t xml:space="preserve"> for 201</w:t>
      </w:r>
      <w:bookmarkEnd w:id="95"/>
      <w:r w:rsidRPr="00385EC6">
        <w:rPr>
          <w:rStyle w:val="003ProxyChar"/>
        </w:rPr>
        <w:t>6</w:t>
      </w:r>
      <w:bookmarkEnd w:id="96"/>
      <w:r>
        <w:t>.  In February 2016</w:t>
      </w:r>
      <w:r w:rsidR="008E678E">
        <w:t>,</w:t>
      </w:r>
      <w:r>
        <w:t xml:space="preserve"> the Compensation Committee adopted an incentive compensation plan for executives and others.  </w:t>
      </w:r>
      <w:r w:rsidR="003A3D69" w:rsidRPr="00FB6B04">
        <w:rPr>
          <w:szCs w:val="23"/>
        </w:rPr>
        <w:t xml:space="preserve">The 2016 </w:t>
      </w:r>
      <w:r w:rsidR="003A3D69">
        <w:rPr>
          <w:szCs w:val="23"/>
        </w:rPr>
        <w:t xml:space="preserve">Executive </w:t>
      </w:r>
      <w:r w:rsidR="003A3D69" w:rsidRPr="00FB6B04">
        <w:rPr>
          <w:szCs w:val="23"/>
        </w:rPr>
        <w:t>Incentive Compensation Program</w:t>
      </w:r>
      <w:r w:rsidR="003A3D69">
        <w:rPr>
          <w:i/>
          <w:szCs w:val="23"/>
        </w:rPr>
        <w:t xml:space="preserve"> </w:t>
      </w:r>
      <w:r w:rsidR="003A3D69">
        <w:rPr>
          <w:szCs w:val="23"/>
        </w:rPr>
        <w:t xml:space="preserve">is a one-year program that </w:t>
      </w:r>
      <w:r w:rsidR="003A3D69" w:rsidRPr="00A5514B">
        <w:rPr>
          <w:szCs w:val="23"/>
        </w:rPr>
        <w:t xml:space="preserve">provides for establishing </w:t>
      </w:r>
      <w:r w:rsidR="003A3D69">
        <w:rPr>
          <w:szCs w:val="23"/>
        </w:rPr>
        <w:t xml:space="preserve">for participants as of the beginning of 2016 </w:t>
      </w:r>
      <w:r w:rsidR="003A3D69" w:rsidRPr="00A5514B">
        <w:rPr>
          <w:szCs w:val="23"/>
        </w:rPr>
        <w:t xml:space="preserve">a target </w:t>
      </w:r>
      <w:r w:rsidR="003A3D69">
        <w:rPr>
          <w:szCs w:val="23"/>
        </w:rPr>
        <w:t xml:space="preserve">amount, which is the amount that can be earned by the participant if all the goals of the program are achieved in 2016, and is </w:t>
      </w:r>
      <w:r w:rsidR="003A3D69" w:rsidRPr="00A5514B">
        <w:rPr>
          <w:szCs w:val="23"/>
        </w:rPr>
        <w:t xml:space="preserve">expressed as a percent of </w:t>
      </w:r>
      <w:r w:rsidR="003A3D69">
        <w:rPr>
          <w:szCs w:val="23"/>
        </w:rPr>
        <w:t>the participant's base</w:t>
      </w:r>
      <w:r w:rsidR="003A3D69" w:rsidRPr="00A5514B">
        <w:rPr>
          <w:szCs w:val="23"/>
        </w:rPr>
        <w:t xml:space="preserve"> salary</w:t>
      </w:r>
      <w:r w:rsidR="003A3D69" w:rsidRPr="00B42B12">
        <w:rPr>
          <w:szCs w:val="23"/>
        </w:rPr>
        <w:t>.</w:t>
      </w:r>
      <w:r w:rsidR="003A3D69">
        <w:rPr>
          <w:szCs w:val="23"/>
        </w:rPr>
        <w:t xml:space="preserve">  </w:t>
      </w:r>
    </w:p>
    <w:p w:rsidR="003A3D69" w:rsidRDefault="003A3D69" w:rsidP="00660C65">
      <w:pPr>
        <w:widowControl/>
        <w:jc w:val="left"/>
        <w:rPr>
          <w:szCs w:val="23"/>
        </w:rPr>
      </w:pPr>
      <w:r>
        <w:rPr>
          <w:szCs w:val="23"/>
        </w:rPr>
        <w:t>I</w:t>
      </w:r>
      <w:r w:rsidRPr="00F53BF4">
        <w:rPr>
          <w:szCs w:val="23"/>
        </w:rPr>
        <w:t xml:space="preserve">ncentive compensation </w:t>
      </w:r>
      <w:r>
        <w:rPr>
          <w:szCs w:val="23"/>
        </w:rPr>
        <w:t xml:space="preserve">is earned </w:t>
      </w:r>
      <w:r w:rsidRPr="00F53BF4">
        <w:rPr>
          <w:szCs w:val="23"/>
        </w:rPr>
        <w:t xml:space="preserve">based on the </w:t>
      </w:r>
      <w:r>
        <w:rPr>
          <w:szCs w:val="23"/>
        </w:rPr>
        <w:t xml:space="preserve">level of </w:t>
      </w:r>
      <w:r w:rsidRPr="00F53BF4">
        <w:rPr>
          <w:szCs w:val="23"/>
        </w:rPr>
        <w:t>achievement of a Company earnings-per-share (EPS) goal</w:t>
      </w:r>
      <w:r>
        <w:rPr>
          <w:szCs w:val="23"/>
        </w:rPr>
        <w:t xml:space="preserve"> for 2016</w:t>
      </w:r>
      <w:r w:rsidR="005D4C8C">
        <w:rPr>
          <w:szCs w:val="23"/>
        </w:rPr>
        <w:t xml:space="preserve"> and</w:t>
      </w:r>
      <w:r>
        <w:rPr>
          <w:szCs w:val="23"/>
        </w:rPr>
        <w:t xml:space="preserve"> individual performance </w:t>
      </w:r>
      <w:r w:rsidRPr="00F53BF4">
        <w:rPr>
          <w:szCs w:val="23"/>
        </w:rPr>
        <w:t>goals</w:t>
      </w:r>
      <w:r w:rsidR="005D4C8C">
        <w:rPr>
          <w:szCs w:val="23"/>
        </w:rPr>
        <w:t>.  F</w:t>
      </w:r>
      <w:r>
        <w:rPr>
          <w:szCs w:val="23"/>
        </w:rPr>
        <w:t xml:space="preserve">or participants in the Company's operating units, </w:t>
      </w:r>
      <w:r w:rsidR="005D4C8C">
        <w:rPr>
          <w:szCs w:val="23"/>
        </w:rPr>
        <w:t xml:space="preserve">there is also </w:t>
      </w:r>
      <w:r>
        <w:rPr>
          <w:szCs w:val="23"/>
        </w:rPr>
        <w:t xml:space="preserve">an operating-unit </w:t>
      </w:r>
      <w:r w:rsidR="005D4C8C">
        <w:rPr>
          <w:szCs w:val="23"/>
        </w:rPr>
        <w:t xml:space="preserve">goal based on its </w:t>
      </w:r>
      <w:r>
        <w:rPr>
          <w:szCs w:val="23"/>
        </w:rPr>
        <w:t>earnings before interest and taxes.</w:t>
      </w:r>
      <w:r w:rsidRPr="00F53BF4">
        <w:rPr>
          <w:szCs w:val="23"/>
        </w:rPr>
        <w:t xml:space="preserve">  </w:t>
      </w:r>
      <w:r w:rsidRPr="00A5514B">
        <w:rPr>
          <w:szCs w:val="23"/>
        </w:rPr>
        <w:t xml:space="preserve">The EPS goal </w:t>
      </w:r>
      <w:r>
        <w:rPr>
          <w:szCs w:val="23"/>
        </w:rPr>
        <w:t xml:space="preserve">and </w:t>
      </w:r>
      <w:r w:rsidRPr="00A5514B">
        <w:rPr>
          <w:szCs w:val="23"/>
        </w:rPr>
        <w:t>the</w:t>
      </w:r>
      <w:r>
        <w:rPr>
          <w:szCs w:val="23"/>
        </w:rPr>
        <w:t xml:space="preserve"> individual performance goals of officers of the Company and of the chief executives of the Company's subsidiaries </w:t>
      </w:r>
      <w:r w:rsidRPr="00A5514B">
        <w:rPr>
          <w:szCs w:val="23"/>
        </w:rPr>
        <w:t>are subject to approval by the Compensation Committee.</w:t>
      </w:r>
      <w:r>
        <w:rPr>
          <w:szCs w:val="23"/>
        </w:rPr>
        <w:t xml:space="preserve">  </w:t>
      </w:r>
    </w:p>
    <w:p w:rsidR="003A3D69" w:rsidRDefault="003A3D69" w:rsidP="00B945C7">
      <w:pPr>
        <w:widowControl/>
        <w:jc w:val="left"/>
        <w:rPr>
          <w:szCs w:val="23"/>
        </w:rPr>
      </w:pPr>
      <w:r>
        <w:rPr>
          <w:szCs w:val="23"/>
        </w:rPr>
        <w:lastRenderedPageBreak/>
        <w:t xml:space="preserve">Payment of one-half </w:t>
      </w:r>
      <w:r w:rsidRPr="00A5514B">
        <w:rPr>
          <w:szCs w:val="23"/>
        </w:rPr>
        <w:t xml:space="preserve">of </w:t>
      </w:r>
      <w:r>
        <w:rPr>
          <w:szCs w:val="23"/>
        </w:rPr>
        <w:t xml:space="preserve">any incentive </w:t>
      </w:r>
      <w:r w:rsidRPr="00A5514B">
        <w:rPr>
          <w:szCs w:val="23"/>
        </w:rPr>
        <w:t xml:space="preserve">compensation </w:t>
      </w:r>
      <w:r>
        <w:rPr>
          <w:szCs w:val="23"/>
        </w:rPr>
        <w:t xml:space="preserve">earned under the </w:t>
      </w:r>
      <w:r w:rsidR="00CF5490">
        <w:rPr>
          <w:szCs w:val="23"/>
        </w:rPr>
        <w:t>plan</w:t>
      </w:r>
      <w:r>
        <w:rPr>
          <w:szCs w:val="23"/>
        </w:rPr>
        <w:t xml:space="preserve"> </w:t>
      </w:r>
      <w:r w:rsidRPr="00A5514B">
        <w:rPr>
          <w:szCs w:val="23"/>
        </w:rPr>
        <w:t>is</w:t>
      </w:r>
      <w:r w:rsidR="00A9781A">
        <w:rPr>
          <w:szCs w:val="23"/>
        </w:rPr>
        <w:t xml:space="preserve"> to be</w:t>
      </w:r>
      <w:r w:rsidRPr="00A5514B">
        <w:rPr>
          <w:szCs w:val="23"/>
        </w:rPr>
        <w:t xml:space="preserve"> made </w:t>
      </w:r>
      <w:r>
        <w:rPr>
          <w:szCs w:val="23"/>
        </w:rPr>
        <w:t xml:space="preserve">in cash, and one-half in the form of an award of shares of the Company's common stock that are subject to restrictions on their sale or other transfer and to forfeiture in certain circumstances, except that with respect to </w:t>
      </w:r>
      <w:r w:rsidR="00524F66">
        <w:rPr>
          <w:szCs w:val="23"/>
        </w:rPr>
        <w:t>one executive officer</w:t>
      </w:r>
      <w:r>
        <w:rPr>
          <w:szCs w:val="23"/>
        </w:rPr>
        <w:t xml:space="preserve">, his incentive compensation, if any is earned, will be payable all in cash.  The restrictions on the restricted stock lapse at the end of three years if the participant is then still an employee of the Company.  </w:t>
      </w:r>
    </w:p>
    <w:p w:rsidR="003A3D69" w:rsidRDefault="003A3D69" w:rsidP="003A3D69">
      <w:pPr>
        <w:jc w:val="left"/>
        <w:rPr>
          <w:szCs w:val="23"/>
        </w:rPr>
      </w:pPr>
      <w:r>
        <w:rPr>
          <w:szCs w:val="23"/>
        </w:rPr>
        <w:t xml:space="preserve">The effect of the termination of employment of a participant during 2016 ranges from forfeiture of all of the benefits of the program, in the case of a termination for cause or a resignation by the participant, to full benefits based on the actual financial results for the year and an assumption that the participant </w:t>
      </w:r>
      <w:r w:rsidRPr="00373869">
        <w:rPr>
          <w:szCs w:val="23"/>
        </w:rPr>
        <w:t xml:space="preserve">completed all </w:t>
      </w:r>
      <w:r w:rsidR="00B945C7">
        <w:rPr>
          <w:szCs w:val="23"/>
        </w:rPr>
        <w:t xml:space="preserve">his </w:t>
      </w:r>
      <w:r w:rsidRPr="00373869">
        <w:rPr>
          <w:szCs w:val="23"/>
        </w:rPr>
        <w:t>individual performance goals satisfactorily</w:t>
      </w:r>
      <w:r>
        <w:rPr>
          <w:szCs w:val="23"/>
        </w:rPr>
        <w:t xml:space="preserve">, in the event of a termination of employment without cause, for permanent disability or the death of the participant.  </w:t>
      </w:r>
    </w:p>
    <w:p w:rsidR="00660C65" w:rsidRDefault="00660C65" w:rsidP="00660C65">
      <w:pPr>
        <w:spacing w:before="100"/>
        <w:rPr>
          <w:szCs w:val="23"/>
        </w:rPr>
      </w:pPr>
      <w:r w:rsidRPr="0065178B">
        <w:rPr>
          <w:snapToGrid/>
        </w:rPr>
        <w:t xml:space="preserve">The </w:t>
      </w:r>
      <w:r>
        <w:rPr>
          <w:snapToGrid/>
        </w:rPr>
        <w:t>plan</w:t>
      </w:r>
      <w:r w:rsidRPr="0065178B">
        <w:rPr>
          <w:snapToGrid/>
        </w:rPr>
        <w:t xml:space="preserve"> has no long-term goal </w:t>
      </w:r>
      <w:r>
        <w:rPr>
          <w:snapToGrid/>
        </w:rPr>
        <w:t xml:space="preserve">reflecting </w:t>
      </w:r>
      <w:r w:rsidRPr="0065178B">
        <w:rPr>
          <w:snapToGrid/>
        </w:rPr>
        <w:t xml:space="preserve">the Compensation Committee's view that in light of the volatility of the Company's common stock, a long-term goal, such as the total shareholder return goal that was a feature of the 2015 incentive compensation plan, would be unlikely to serve as an incentive to current executives, who are </w:t>
      </w:r>
      <w:r>
        <w:rPr>
          <w:snapToGrid/>
        </w:rPr>
        <w:t>fully concentrated on the short-</w:t>
      </w:r>
      <w:r w:rsidRPr="0065178B">
        <w:rPr>
          <w:snapToGrid/>
        </w:rPr>
        <w:t xml:space="preserve">term in furtherance of the Company's return to profitability.  The </w:t>
      </w:r>
      <w:r>
        <w:rPr>
          <w:snapToGrid/>
        </w:rPr>
        <w:t xml:space="preserve">Compensation Committee </w:t>
      </w:r>
      <w:r w:rsidRPr="0065178B">
        <w:rPr>
          <w:snapToGrid/>
        </w:rPr>
        <w:t>will consider adding a long-term goal to future incentive compensation plans when it believes it will be of benefit to the Company to do so.</w:t>
      </w:r>
      <w:r>
        <w:rPr>
          <w:snapToGrid/>
        </w:rPr>
        <w:t xml:space="preserve">  </w:t>
      </w:r>
      <w:r w:rsidRPr="00660C65">
        <w:rPr>
          <w:szCs w:val="23"/>
        </w:rPr>
        <w:t xml:space="preserve">The Committee established </w:t>
      </w:r>
      <w:r>
        <w:rPr>
          <w:szCs w:val="23"/>
        </w:rPr>
        <w:t xml:space="preserve">three years for the vesting of restricted stock, </w:t>
      </w:r>
      <w:r w:rsidRPr="00660C65">
        <w:rPr>
          <w:szCs w:val="23"/>
        </w:rPr>
        <w:t xml:space="preserve">believing the period to be long enough to provide a continuing incentive, but not so long as to make the goal seem out of reach, or unattainable.  </w:t>
      </w:r>
    </w:p>
    <w:p w:rsidR="003A3D69" w:rsidRDefault="003A3D69" w:rsidP="003A3D69">
      <w:pPr>
        <w:jc w:val="left"/>
        <w:rPr>
          <w:szCs w:val="23"/>
        </w:rPr>
      </w:pPr>
      <w:r>
        <w:rPr>
          <w:szCs w:val="23"/>
        </w:rPr>
        <w:t xml:space="preserve">The following table shows some additional information about the program, including various program and participant percentages.  </w:t>
      </w:r>
      <w:r w:rsidR="00524F66">
        <w:rPr>
          <w:szCs w:val="23"/>
        </w:rPr>
        <w:t xml:space="preserve">As noted above, neither Messrs. Varello nor Barzun are participants in the program.  </w:t>
      </w:r>
    </w:p>
    <w:tbl>
      <w:tblPr>
        <w:tblW w:w="0" w:type="auto"/>
        <w:tblCellMar>
          <w:top w:w="58" w:type="dxa"/>
          <w:left w:w="115" w:type="dxa"/>
          <w:bottom w:w="58" w:type="dxa"/>
          <w:right w:w="115" w:type="dxa"/>
        </w:tblCellMar>
        <w:tblLook w:val="04A0" w:firstRow="1" w:lastRow="0" w:firstColumn="1" w:lastColumn="0" w:noHBand="0" w:noVBand="1"/>
      </w:tblPr>
      <w:tblGrid>
        <w:gridCol w:w="4345"/>
        <w:gridCol w:w="4770"/>
      </w:tblGrid>
      <w:tr w:rsidR="003A3D69" w:rsidRPr="00155A20" w:rsidTr="000B1DD5">
        <w:tc>
          <w:tcPr>
            <w:tcW w:w="4345" w:type="dxa"/>
            <w:tcBorders>
              <w:top w:val="single" w:sz="4" w:space="0" w:color="auto"/>
            </w:tcBorders>
            <w:shd w:val="clear" w:color="auto" w:fill="C6D9F1" w:themeFill="text2" w:themeFillTint="33"/>
          </w:tcPr>
          <w:p w:rsidR="003A3D69" w:rsidRPr="00136072" w:rsidRDefault="003A3D69" w:rsidP="00760931">
            <w:pPr>
              <w:spacing w:after="0"/>
              <w:rPr>
                <w:sz w:val="22"/>
                <w:szCs w:val="22"/>
              </w:rPr>
            </w:pPr>
            <w:r w:rsidRPr="00136072">
              <w:rPr>
                <w:sz w:val="22"/>
                <w:szCs w:val="22"/>
              </w:rPr>
              <w:t>Program Term:</w:t>
            </w:r>
          </w:p>
        </w:tc>
        <w:tc>
          <w:tcPr>
            <w:tcW w:w="4770" w:type="dxa"/>
            <w:tcBorders>
              <w:top w:val="single" w:sz="4" w:space="0" w:color="auto"/>
            </w:tcBorders>
            <w:shd w:val="clear" w:color="auto" w:fill="C6D9F1" w:themeFill="text2" w:themeFillTint="33"/>
          </w:tcPr>
          <w:p w:rsidR="003A3D69" w:rsidRPr="00136072" w:rsidRDefault="003A3D69" w:rsidP="00760931">
            <w:pPr>
              <w:tabs>
                <w:tab w:val="left" w:pos="875"/>
              </w:tabs>
              <w:spacing w:after="0"/>
              <w:jc w:val="left"/>
              <w:rPr>
                <w:sz w:val="22"/>
                <w:szCs w:val="22"/>
              </w:rPr>
            </w:pPr>
            <w:r w:rsidRPr="00136072">
              <w:rPr>
                <w:sz w:val="22"/>
                <w:szCs w:val="22"/>
              </w:rPr>
              <w:t>One year (January 1 – December 31, 2016)</w:t>
            </w:r>
          </w:p>
        </w:tc>
      </w:tr>
      <w:tr w:rsidR="003A3D69" w:rsidRPr="00155A20" w:rsidTr="000B1DD5">
        <w:tc>
          <w:tcPr>
            <w:tcW w:w="4345" w:type="dxa"/>
            <w:shd w:val="clear" w:color="auto" w:fill="auto"/>
            <w:tcMar>
              <w:bottom w:w="0" w:type="dxa"/>
            </w:tcMar>
          </w:tcPr>
          <w:p w:rsidR="003A3D69" w:rsidRPr="00136072" w:rsidRDefault="003A3D69" w:rsidP="00173C6B">
            <w:pPr>
              <w:jc w:val="left"/>
              <w:rPr>
                <w:sz w:val="22"/>
                <w:szCs w:val="22"/>
              </w:rPr>
            </w:pPr>
            <w:r w:rsidRPr="00136072">
              <w:rPr>
                <w:sz w:val="22"/>
                <w:szCs w:val="22"/>
              </w:rPr>
              <w:t>Target Amount</w:t>
            </w:r>
            <w:r>
              <w:rPr>
                <w:sz w:val="22"/>
                <w:szCs w:val="22"/>
              </w:rPr>
              <w:t xml:space="preserve"> </w:t>
            </w:r>
            <w:r w:rsidRPr="00136072">
              <w:rPr>
                <w:sz w:val="22"/>
                <w:szCs w:val="22"/>
              </w:rPr>
              <w:t>as a percent of salary:</w:t>
            </w:r>
          </w:p>
        </w:tc>
        <w:tc>
          <w:tcPr>
            <w:tcW w:w="4770" w:type="dxa"/>
            <w:shd w:val="clear" w:color="auto" w:fill="auto"/>
          </w:tcPr>
          <w:p w:rsidR="00137E2E" w:rsidRDefault="00137E2E" w:rsidP="00CC5034">
            <w:pPr>
              <w:tabs>
                <w:tab w:val="right" w:pos="2225"/>
              </w:tabs>
              <w:spacing w:after="40"/>
              <w:rPr>
                <w:sz w:val="22"/>
                <w:szCs w:val="22"/>
              </w:rPr>
            </w:pPr>
            <w:r w:rsidRPr="00136072">
              <w:rPr>
                <w:sz w:val="22"/>
                <w:szCs w:val="22"/>
              </w:rPr>
              <w:t>Con L. Wadsworth 1</w:t>
            </w:r>
            <w:r>
              <w:rPr>
                <w:sz w:val="22"/>
                <w:szCs w:val="22"/>
              </w:rPr>
              <w:t>0</w:t>
            </w:r>
            <w:r w:rsidRPr="00136072">
              <w:rPr>
                <w:sz w:val="22"/>
                <w:szCs w:val="22"/>
              </w:rPr>
              <w:t>0%</w:t>
            </w:r>
          </w:p>
          <w:p w:rsidR="003A3D69" w:rsidRDefault="003A3D69" w:rsidP="00CC5034">
            <w:pPr>
              <w:tabs>
                <w:tab w:val="right" w:pos="2225"/>
              </w:tabs>
              <w:spacing w:after="40"/>
              <w:rPr>
                <w:sz w:val="22"/>
                <w:szCs w:val="22"/>
              </w:rPr>
            </w:pPr>
            <w:r w:rsidRPr="00136072">
              <w:rPr>
                <w:sz w:val="22"/>
                <w:szCs w:val="22"/>
              </w:rPr>
              <w:t>Ronald A. Ballschmiede 170%</w:t>
            </w:r>
          </w:p>
          <w:p w:rsidR="00473878" w:rsidRPr="00136072" w:rsidRDefault="00473878" w:rsidP="00137E2E">
            <w:pPr>
              <w:tabs>
                <w:tab w:val="right" w:pos="2225"/>
              </w:tabs>
              <w:spacing w:after="40"/>
              <w:rPr>
                <w:sz w:val="22"/>
                <w:szCs w:val="22"/>
              </w:rPr>
            </w:pPr>
            <w:r>
              <w:rPr>
                <w:sz w:val="22"/>
                <w:szCs w:val="22"/>
              </w:rPr>
              <w:t xml:space="preserve">Kevan M. Blair </w:t>
            </w:r>
            <w:r w:rsidR="00D02B53">
              <w:rPr>
                <w:sz w:val="22"/>
                <w:szCs w:val="22"/>
              </w:rPr>
              <w:t>40%</w:t>
            </w:r>
          </w:p>
        </w:tc>
      </w:tr>
      <w:tr w:rsidR="003A3D69" w:rsidRPr="00155A20" w:rsidTr="000B1DD5">
        <w:tc>
          <w:tcPr>
            <w:tcW w:w="4345" w:type="dxa"/>
            <w:shd w:val="clear" w:color="auto" w:fill="C6D9F1" w:themeFill="text2" w:themeFillTint="33"/>
          </w:tcPr>
          <w:p w:rsidR="003A3D69" w:rsidRPr="00136072" w:rsidRDefault="003A3D69" w:rsidP="00173C6B">
            <w:pPr>
              <w:tabs>
                <w:tab w:val="left" w:pos="343"/>
              </w:tabs>
              <w:spacing w:after="40"/>
              <w:ind w:left="360" w:hanging="360"/>
              <w:jc w:val="left"/>
              <w:rPr>
                <w:sz w:val="22"/>
                <w:szCs w:val="22"/>
              </w:rPr>
            </w:pPr>
            <w:r w:rsidRPr="00136072">
              <w:rPr>
                <w:sz w:val="22"/>
                <w:szCs w:val="22"/>
              </w:rPr>
              <w:t>The EPS Goal:</w:t>
            </w:r>
          </w:p>
          <w:p w:rsidR="003A3D69" w:rsidRPr="00136072" w:rsidRDefault="003A3D69" w:rsidP="00173C6B">
            <w:pPr>
              <w:spacing w:after="40"/>
              <w:ind w:left="270"/>
              <w:jc w:val="left"/>
              <w:rPr>
                <w:sz w:val="22"/>
                <w:szCs w:val="22"/>
              </w:rPr>
            </w:pPr>
            <w:r w:rsidRPr="00136072">
              <w:rPr>
                <w:sz w:val="22"/>
                <w:szCs w:val="22"/>
              </w:rPr>
              <w:t>Minimum Required Achievement Level:</w:t>
            </w:r>
          </w:p>
          <w:p w:rsidR="003A3D69" w:rsidRPr="00136072" w:rsidRDefault="003A3D69" w:rsidP="00760931">
            <w:pPr>
              <w:spacing w:after="0"/>
              <w:ind w:left="274"/>
              <w:rPr>
                <w:sz w:val="22"/>
                <w:szCs w:val="22"/>
              </w:rPr>
            </w:pPr>
            <w:r w:rsidRPr="00136072">
              <w:rPr>
                <w:sz w:val="22"/>
                <w:szCs w:val="22"/>
              </w:rPr>
              <w:t>Cap on Achievement Level:</w:t>
            </w:r>
          </w:p>
        </w:tc>
        <w:tc>
          <w:tcPr>
            <w:tcW w:w="4770" w:type="dxa"/>
            <w:shd w:val="clear" w:color="auto" w:fill="C6D9F1" w:themeFill="text2" w:themeFillTint="33"/>
          </w:tcPr>
          <w:p w:rsidR="003A3D69" w:rsidRPr="00136072" w:rsidRDefault="003A3D69" w:rsidP="00173C6B">
            <w:pPr>
              <w:tabs>
                <w:tab w:val="right" w:pos="515"/>
              </w:tabs>
              <w:spacing w:after="40"/>
              <w:ind w:left="-29"/>
              <w:rPr>
                <w:sz w:val="22"/>
                <w:szCs w:val="22"/>
              </w:rPr>
            </w:pPr>
            <w:r w:rsidRPr="00136072">
              <w:rPr>
                <w:sz w:val="22"/>
                <w:szCs w:val="22"/>
              </w:rPr>
              <w:t>Accounts for 50% of the Target Amount</w:t>
            </w:r>
          </w:p>
          <w:p w:rsidR="003A3D69" w:rsidRPr="00136072" w:rsidRDefault="003A3D69" w:rsidP="00173C6B">
            <w:pPr>
              <w:tabs>
                <w:tab w:val="right" w:pos="515"/>
              </w:tabs>
              <w:spacing w:after="40"/>
              <w:ind w:left="-29"/>
              <w:rPr>
                <w:sz w:val="22"/>
                <w:szCs w:val="22"/>
              </w:rPr>
            </w:pPr>
            <w:r>
              <w:rPr>
                <w:sz w:val="22"/>
                <w:szCs w:val="22"/>
              </w:rPr>
              <w:t xml:space="preserve">  </w:t>
            </w:r>
            <w:r w:rsidRPr="00136072">
              <w:rPr>
                <w:sz w:val="22"/>
                <w:szCs w:val="22"/>
              </w:rPr>
              <w:t>80%</w:t>
            </w:r>
            <w:r w:rsidRPr="00136072">
              <w:rPr>
                <w:sz w:val="22"/>
                <w:szCs w:val="22"/>
              </w:rPr>
              <w:tab/>
              <w:t xml:space="preserve"> of the EPS Goal</w:t>
            </w:r>
          </w:p>
          <w:p w:rsidR="003A3D69" w:rsidRPr="00136072" w:rsidRDefault="003A3D69" w:rsidP="00760931">
            <w:pPr>
              <w:spacing w:after="0"/>
              <w:rPr>
                <w:sz w:val="22"/>
                <w:szCs w:val="22"/>
              </w:rPr>
            </w:pPr>
            <w:r w:rsidRPr="00136072">
              <w:rPr>
                <w:sz w:val="22"/>
                <w:szCs w:val="22"/>
              </w:rPr>
              <w:t>120% of the EPS Goal</w:t>
            </w:r>
          </w:p>
        </w:tc>
      </w:tr>
      <w:tr w:rsidR="003A3D69" w:rsidRPr="00155A20" w:rsidTr="000B1DD5">
        <w:tc>
          <w:tcPr>
            <w:tcW w:w="4345" w:type="dxa"/>
            <w:tcBorders>
              <w:bottom w:val="single" w:sz="4" w:space="0" w:color="auto"/>
            </w:tcBorders>
            <w:shd w:val="clear" w:color="auto" w:fill="auto"/>
          </w:tcPr>
          <w:p w:rsidR="003A3D69" w:rsidRPr="00136072" w:rsidRDefault="003A3D69" w:rsidP="00760931">
            <w:pPr>
              <w:spacing w:after="0"/>
              <w:jc w:val="left"/>
              <w:rPr>
                <w:sz w:val="22"/>
                <w:szCs w:val="22"/>
              </w:rPr>
            </w:pPr>
            <w:r w:rsidRPr="00136072">
              <w:rPr>
                <w:sz w:val="22"/>
                <w:szCs w:val="22"/>
              </w:rPr>
              <w:t>Individual Performance Goals:</w:t>
            </w:r>
          </w:p>
        </w:tc>
        <w:tc>
          <w:tcPr>
            <w:tcW w:w="4770" w:type="dxa"/>
            <w:tcBorders>
              <w:bottom w:val="single" w:sz="4" w:space="0" w:color="auto"/>
            </w:tcBorders>
            <w:shd w:val="clear" w:color="auto" w:fill="auto"/>
          </w:tcPr>
          <w:p w:rsidR="003A3D69" w:rsidRPr="00136072" w:rsidRDefault="003A3D69" w:rsidP="00760931">
            <w:pPr>
              <w:spacing w:after="0"/>
              <w:rPr>
                <w:sz w:val="22"/>
                <w:szCs w:val="22"/>
              </w:rPr>
            </w:pPr>
            <w:r w:rsidRPr="00136072">
              <w:rPr>
                <w:sz w:val="22"/>
                <w:szCs w:val="22"/>
              </w:rPr>
              <w:t>Account for</w:t>
            </w:r>
            <w:r>
              <w:rPr>
                <w:sz w:val="22"/>
                <w:szCs w:val="22"/>
              </w:rPr>
              <w:t xml:space="preserve"> </w:t>
            </w:r>
            <w:r w:rsidRPr="00136072">
              <w:rPr>
                <w:sz w:val="22"/>
                <w:szCs w:val="22"/>
              </w:rPr>
              <w:t>50% of the Target Amount</w:t>
            </w:r>
          </w:p>
          <w:p w:rsidR="003A3D69" w:rsidRPr="00136072" w:rsidRDefault="00760931" w:rsidP="00760931">
            <w:pPr>
              <w:tabs>
                <w:tab w:val="left" w:pos="155"/>
              </w:tabs>
              <w:spacing w:after="0"/>
              <w:jc w:val="left"/>
              <w:rPr>
                <w:sz w:val="22"/>
                <w:szCs w:val="22"/>
              </w:rPr>
            </w:pPr>
            <w:r>
              <w:rPr>
                <w:sz w:val="22"/>
                <w:szCs w:val="22"/>
              </w:rPr>
              <w:t xml:space="preserve">There is </w:t>
            </w:r>
            <w:r w:rsidR="003A3D69" w:rsidRPr="00136072">
              <w:rPr>
                <w:sz w:val="22"/>
                <w:szCs w:val="22"/>
              </w:rPr>
              <w:t>no minimum</w:t>
            </w:r>
            <w:r w:rsidR="00B30A86">
              <w:rPr>
                <w:sz w:val="22"/>
                <w:szCs w:val="22"/>
              </w:rPr>
              <w:t xml:space="preserve">; </w:t>
            </w:r>
            <w:r>
              <w:rPr>
                <w:sz w:val="22"/>
                <w:szCs w:val="22"/>
              </w:rPr>
              <w:t xml:space="preserve">and achievement </w:t>
            </w:r>
            <w:r w:rsidR="00B30A86">
              <w:rPr>
                <w:sz w:val="22"/>
                <w:szCs w:val="22"/>
              </w:rPr>
              <w:t>cannot exceed 100%</w:t>
            </w:r>
            <w:r>
              <w:rPr>
                <w:sz w:val="22"/>
                <w:szCs w:val="22"/>
              </w:rPr>
              <w:t>.</w:t>
            </w:r>
          </w:p>
        </w:tc>
      </w:tr>
    </w:tbl>
    <w:p w:rsidR="00871B0A" w:rsidRDefault="00F607AD" w:rsidP="003F01F3">
      <w:pPr>
        <w:spacing w:before="100"/>
      </w:pPr>
      <w:bookmarkStart w:id="97" w:name="_Toc445739590"/>
      <w:r w:rsidRPr="0065178B">
        <w:rPr>
          <w:rStyle w:val="003ProxyChar"/>
        </w:rPr>
        <w:t>Additional</w:t>
      </w:r>
      <w:r w:rsidR="00173C6B" w:rsidRPr="0065178B">
        <w:rPr>
          <w:rStyle w:val="003ProxyChar"/>
        </w:rPr>
        <w:t xml:space="preserve"> information on executive compensation</w:t>
      </w:r>
      <w:bookmarkEnd w:id="97"/>
      <w:r w:rsidR="00871B0A">
        <w:t xml:space="preserve">.  </w:t>
      </w:r>
    </w:p>
    <w:p w:rsidR="00871B0A" w:rsidRDefault="00871B0A" w:rsidP="00672977">
      <w:pPr>
        <w:pStyle w:val="ListParagraph"/>
        <w:numPr>
          <w:ilvl w:val="0"/>
          <w:numId w:val="22"/>
        </w:numPr>
        <w:spacing w:after="60"/>
        <w:contextualSpacing w:val="0"/>
        <w:jc w:val="left"/>
      </w:pPr>
      <w:r>
        <w:t xml:space="preserve">All incentive compensation, whether paid in cash or stock, is subject to recovery by the Company, </w:t>
      </w:r>
      <w:r w:rsidRPr="00A500AA">
        <w:t>irrespective of culpability</w:t>
      </w:r>
      <w:r>
        <w:t xml:space="preserve">, if the </w:t>
      </w:r>
      <w:r w:rsidR="00557036">
        <w:t xml:space="preserve">Company restates the </w:t>
      </w:r>
      <w:r>
        <w:t xml:space="preserve">financial statements on which the incentive compensation was </w:t>
      </w:r>
      <w:r w:rsidR="00557036">
        <w:t>based</w:t>
      </w:r>
      <w:r>
        <w:t>.</w:t>
      </w:r>
    </w:p>
    <w:p w:rsidR="00871B0A" w:rsidRDefault="00871B0A" w:rsidP="003F01F3">
      <w:pPr>
        <w:pStyle w:val="ListParagraph"/>
        <w:widowControl/>
        <w:numPr>
          <w:ilvl w:val="0"/>
          <w:numId w:val="22"/>
        </w:numPr>
        <w:spacing w:after="60"/>
        <w:contextualSpacing w:val="0"/>
        <w:jc w:val="left"/>
      </w:pPr>
      <w:r>
        <w:t>For more information o</w:t>
      </w:r>
      <w:r w:rsidR="001A000A">
        <w:t>n</w:t>
      </w:r>
      <w:r>
        <w:t xml:space="preserve"> payments to the executives in the event of the termination of </w:t>
      </w:r>
      <w:r w:rsidR="00E5641A">
        <w:t xml:space="preserve">their </w:t>
      </w:r>
      <w:r>
        <w:t xml:space="preserve">employment, see the section </w:t>
      </w:r>
      <w:r w:rsidR="004606EF">
        <w:t xml:space="preserve">below </w:t>
      </w:r>
      <w:r>
        <w:t xml:space="preserve">entitled </w:t>
      </w:r>
      <w:r w:rsidRPr="000C038B">
        <w:rPr>
          <w:i/>
        </w:rPr>
        <w:t>Potential Payments upon Termination or Change-in-Control</w:t>
      </w:r>
      <w:r>
        <w:t>.</w:t>
      </w:r>
    </w:p>
    <w:p w:rsidR="00871B0A" w:rsidRDefault="00871B0A" w:rsidP="00672977">
      <w:pPr>
        <w:pStyle w:val="ListParagraph"/>
        <w:widowControl/>
        <w:numPr>
          <w:ilvl w:val="0"/>
          <w:numId w:val="22"/>
        </w:numPr>
        <w:spacing w:after="60"/>
        <w:contextualSpacing w:val="0"/>
        <w:jc w:val="left"/>
      </w:pPr>
      <w:r>
        <w:t xml:space="preserve">A description of the material terms of the employment agreements of the named executive officers is set forth below in the section entitled </w:t>
      </w:r>
      <w:r w:rsidRPr="000C038B">
        <w:rPr>
          <w:i/>
        </w:rPr>
        <w:t>Employment Agreements of the Named Executive Officers</w:t>
      </w:r>
      <w:r>
        <w:t xml:space="preserve">.  </w:t>
      </w:r>
    </w:p>
    <w:p w:rsidR="00871B0A" w:rsidRDefault="00871B0A" w:rsidP="00672977">
      <w:pPr>
        <w:pStyle w:val="ListParagraph"/>
        <w:widowControl/>
        <w:numPr>
          <w:ilvl w:val="0"/>
          <w:numId w:val="22"/>
        </w:numPr>
        <w:spacing w:after="60"/>
        <w:contextualSpacing w:val="0"/>
        <w:jc w:val="left"/>
      </w:pPr>
      <w:r>
        <w:lastRenderedPageBreak/>
        <w:t xml:space="preserve">A description of the material terms of the </w:t>
      </w:r>
      <w:r w:rsidRPr="000C038B">
        <w:t>201</w:t>
      </w:r>
      <w:r w:rsidR="0030397C">
        <w:t>5</w:t>
      </w:r>
      <w:r w:rsidRPr="000C038B">
        <w:t xml:space="preserve"> Incentive Compensation Plan</w:t>
      </w:r>
      <w:r>
        <w:t xml:space="preserve"> is set forth below in the section entitled </w:t>
      </w:r>
      <w:r w:rsidRPr="000C038B">
        <w:rPr>
          <w:i/>
        </w:rPr>
        <w:t xml:space="preserve">Grants of Plan-Based Awards </w:t>
      </w:r>
      <w:r w:rsidR="0066345E">
        <w:rPr>
          <w:i/>
        </w:rPr>
        <w:t>in</w:t>
      </w:r>
      <w:r w:rsidRPr="000C038B">
        <w:rPr>
          <w:i/>
        </w:rPr>
        <w:t xml:space="preserve"> 201</w:t>
      </w:r>
      <w:r w:rsidR="0030397C">
        <w:rPr>
          <w:i/>
        </w:rPr>
        <w:t>5</w:t>
      </w:r>
      <w:r>
        <w:t xml:space="preserve">.  </w:t>
      </w:r>
    </w:p>
    <w:p w:rsidR="00871B0A" w:rsidRDefault="00871B0A" w:rsidP="000B1DD5">
      <w:pPr>
        <w:pStyle w:val="ListParagraph"/>
        <w:numPr>
          <w:ilvl w:val="0"/>
          <w:numId w:val="22"/>
        </w:numPr>
        <w:spacing w:after="0"/>
        <w:contextualSpacing w:val="0"/>
        <w:jc w:val="left"/>
      </w:pPr>
      <w:r>
        <w:t xml:space="preserve">The peer group </w:t>
      </w:r>
      <w:r w:rsidR="00AB78E8">
        <w:t xml:space="preserve">that the </w:t>
      </w:r>
      <w:r>
        <w:t xml:space="preserve">Compensation Committee </w:t>
      </w:r>
      <w:r w:rsidR="003C651B">
        <w:t>used</w:t>
      </w:r>
      <w:r w:rsidR="0080494D">
        <w:t xml:space="preserve"> </w:t>
      </w:r>
      <w:r w:rsidR="00494DCA">
        <w:t>for Messrs. MacKenna's and Wright's compensation was as follows</w:t>
      </w:r>
      <w:r w:rsidR="00F24989" w:rsidRPr="00F24989">
        <w:rPr>
          <w:szCs w:val="23"/>
        </w:rPr>
        <w:t xml:space="preserve"> (for comparison purposes, the Compensation Committee used the compensation of the Executive Vice President of Tutor Perini's civil group not Tutor Perini's chief executive)</w:t>
      </w:r>
      <w:r w:rsidR="00494DCA" w:rsidRPr="00F24989">
        <w:rPr>
          <w:szCs w:val="23"/>
        </w:rPr>
        <w:t>:</w:t>
      </w:r>
      <w:r w:rsidR="00A525D6" w:rsidRPr="00F24989">
        <w:rPr>
          <w:szCs w:val="23"/>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944"/>
        <w:gridCol w:w="3330"/>
      </w:tblGrid>
      <w:tr w:rsidR="00371922" w:rsidTr="00494DCA">
        <w:trPr>
          <w:jc w:val="center"/>
        </w:trPr>
        <w:tc>
          <w:tcPr>
            <w:tcW w:w="3944" w:type="dxa"/>
          </w:tcPr>
          <w:p w:rsidR="00371922" w:rsidRDefault="00371922" w:rsidP="00110260">
            <w:pPr>
              <w:pStyle w:val="ListParagraph"/>
              <w:spacing w:after="0"/>
              <w:ind w:left="360"/>
              <w:contextualSpacing w:val="0"/>
              <w:jc w:val="left"/>
            </w:pPr>
            <w:r>
              <w:t>Granite Construction Incorporated</w:t>
            </w:r>
          </w:p>
          <w:p w:rsidR="00371922" w:rsidRDefault="00371922" w:rsidP="00110260">
            <w:pPr>
              <w:pStyle w:val="ListParagraph"/>
              <w:spacing w:after="0"/>
              <w:ind w:left="360"/>
              <w:contextualSpacing w:val="0"/>
              <w:jc w:val="left"/>
            </w:pPr>
            <w:r>
              <w:t>Layne Christensen Company</w:t>
            </w:r>
          </w:p>
          <w:p w:rsidR="00371922" w:rsidRDefault="00371922" w:rsidP="00110260">
            <w:pPr>
              <w:pStyle w:val="ListParagraph"/>
              <w:spacing w:after="0"/>
              <w:ind w:left="360"/>
              <w:contextualSpacing w:val="0"/>
              <w:jc w:val="left"/>
            </w:pPr>
            <w:r>
              <w:t>Michael Baker International</w:t>
            </w:r>
          </w:p>
          <w:p w:rsidR="00371922" w:rsidRDefault="00371922" w:rsidP="00110260">
            <w:pPr>
              <w:pStyle w:val="ListParagraph"/>
              <w:spacing w:after="0"/>
              <w:ind w:left="360"/>
              <w:contextualSpacing w:val="0"/>
              <w:jc w:val="left"/>
            </w:pPr>
            <w:r>
              <w:t>Orion Marine Group, Inc.</w:t>
            </w:r>
          </w:p>
        </w:tc>
        <w:tc>
          <w:tcPr>
            <w:tcW w:w="3330" w:type="dxa"/>
          </w:tcPr>
          <w:p w:rsidR="00371922" w:rsidRDefault="00371922" w:rsidP="00371922">
            <w:pPr>
              <w:pStyle w:val="ListParagraph"/>
              <w:spacing w:after="0"/>
              <w:ind w:left="0"/>
              <w:contextualSpacing w:val="0"/>
              <w:jc w:val="left"/>
            </w:pPr>
            <w:proofErr w:type="spellStart"/>
            <w:r>
              <w:t>Primoris</w:t>
            </w:r>
            <w:proofErr w:type="spellEnd"/>
            <w:r>
              <w:t xml:space="preserve"> Services Corporation</w:t>
            </w:r>
          </w:p>
          <w:p w:rsidR="00371922" w:rsidRPr="00BC3DE6" w:rsidRDefault="00371922" w:rsidP="00371922">
            <w:pPr>
              <w:pStyle w:val="ListParagraph"/>
              <w:spacing w:after="0"/>
              <w:ind w:left="0"/>
              <w:contextualSpacing w:val="0"/>
              <w:jc w:val="left"/>
            </w:pPr>
            <w:r>
              <w:t>Tutor Perini Corporation*</w:t>
            </w:r>
          </w:p>
          <w:p w:rsidR="00371922" w:rsidRDefault="00371922" w:rsidP="00371922">
            <w:pPr>
              <w:pStyle w:val="ListParagraph"/>
              <w:spacing w:after="0"/>
              <w:ind w:left="0"/>
              <w:contextualSpacing w:val="0"/>
              <w:jc w:val="left"/>
            </w:pPr>
            <w:r>
              <w:t>U.S. Concrete, Inc.</w:t>
            </w:r>
          </w:p>
        </w:tc>
      </w:tr>
    </w:tbl>
    <w:bookmarkEnd w:id="90"/>
    <w:p w:rsidR="00494DCA" w:rsidRDefault="00494DCA" w:rsidP="00494DCA">
      <w:pPr>
        <w:pStyle w:val="ListParagraph"/>
        <w:numPr>
          <w:ilvl w:val="0"/>
          <w:numId w:val="22"/>
        </w:numPr>
        <w:spacing w:after="60"/>
        <w:contextualSpacing w:val="0"/>
        <w:jc w:val="left"/>
      </w:pPr>
      <w:r>
        <w:t>When the Compensation Committee established the Long-Term Incentive Compensation Program for 2015, an element consisted of a goal based on the Company's three-year total shareholder return (TSR) compared to the TSR of the following peer group</w:t>
      </w:r>
      <w:r w:rsidR="00AB3D5E">
        <w:t>, which is</w:t>
      </w:r>
      <w:r>
        <w:t xml:space="preserve"> believed by the Committee to be more representative:  </w:t>
      </w:r>
    </w:p>
    <w:tbl>
      <w:tblPr>
        <w:tblW w:w="7592" w:type="dxa"/>
        <w:jc w:val="center"/>
        <w:tblLook w:val="04A0" w:firstRow="1" w:lastRow="0" w:firstColumn="1" w:lastColumn="0" w:noHBand="0" w:noVBand="1"/>
      </w:tblPr>
      <w:tblGrid>
        <w:gridCol w:w="4246"/>
        <w:gridCol w:w="3346"/>
      </w:tblGrid>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proofErr w:type="spellStart"/>
            <w:r w:rsidRPr="00B07BCD">
              <w:rPr>
                <w:snapToGrid/>
                <w:color w:val="000000"/>
                <w:szCs w:val="23"/>
              </w:rPr>
              <w:t>Argan</w:t>
            </w:r>
            <w:proofErr w:type="spellEnd"/>
            <w:r w:rsidRPr="00B07BCD">
              <w:rPr>
                <w:snapToGrid/>
                <w:color w:val="000000"/>
                <w:szCs w:val="23"/>
              </w:rPr>
              <w:t>, Inc.</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proofErr w:type="spellStart"/>
            <w:r w:rsidRPr="00B07BCD">
              <w:rPr>
                <w:snapToGrid/>
                <w:color w:val="000000"/>
                <w:szCs w:val="23"/>
              </w:rPr>
              <w:t>MasTec</w:t>
            </w:r>
            <w:proofErr w:type="spellEnd"/>
            <w:r w:rsidRPr="00B07BCD">
              <w:rPr>
                <w:snapToGrid/>
                <w:color w:val="000000"/>
                <w:szCs w:val="23"/>
              </w:rPr>
              <w:t>, Inc.</w:t>
            </w:r>
          </w:p>
        </w:tc>
      </w:tr>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proofErr w:type="spellStart"/>
            <w:r w:rsidRPr="00B07BCD">
              <w:rPr>
                <w:snapToGrid/>
                <w:color w:val="000000"/>
                <w:szCs w:val="23"/>
              </w:rPr>
              <w:t>Dycom</w:t>
            </w:r>
            <w:proofErr w:type="spellEnd"/>
            <w:r w:rsidRPr="00B07BCD">
              <w:rPr>
                <w:snapToGrid/>
                <w:color w:val="000000"/>
                <w:szCs w:val="23"/>
              </w:rPr>
              <w:t xml:space="preserve"> Industries Inc.</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r w:rsidRPr="00B07BCD">
              <w:rPr>
                <w:snapToGrid/>
                <w:color w:val="000000"/>
                <w:szCs w:val="23"/>
              </w:rPr>
              <w:t>Orion Marine Group, Inc.</w:t>
            </w:r>
          </w:p>
        </w:tc>
      </w:tr>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r w:rsidRPr="00B07BCD">
              <w:rPr>
                <w:snapToGrid/>
                <w:color w:val="000000"/>
                <w:szCs w:val="23"/>
              </w:rPr>
              <w:t>Granite Construction Incorporated</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proofErr w:type="spellStart"/>
            <w:r w:rsidRPr="00B07BCD">
              <w:rPr>
                <w:snapToGrid/>
                <w:color w:val="000000"/>
                <w:szCs w:val="23"/>
              </w:rPr>
              <w:t>Primoris</w:t>
            </w:r>
            <w:proofErr w:type="spellEnd"/>
            <w:r w:rsidRPr="00B07BCD">
              <w:rPr>
                <w:snapToGrid/>
                <w:color w:val="000000"/>
                <w:szCs w:val="23"/>
              </w:rPr>
              <w:t xml:space="preserve"> Services Corporation</w:t>
            </w:r>
          </w:p>
        </w:tc>
      </w:tr>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r w:rsidRPr="00B07BCD">
              <w:rPr>
                <w:snapToGrid/>
                <w:color w:val="000000"/>
                <w:szCs w:val="23"/>
              </w:rPr>
              <w:t>Great Lakes Dredge &amp; Dock Corporation</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r w:rsidRPr="00B07BCD">
              <w:rPr>
                <w:snapToGrid/>
                <w:color w:val="000000"/>
                <w:szCs w:val="23"/>
              </w:rPr>
              <w:t>Tutor Perini Corporation</w:t>
            </w:r>
            <w:r w:rsidRPr="00494DCA">
              <w:rPr>
                <w:snapToGrid/>
                <w:color w:val="000000"/>
                <w:szCs w:val="23"/>
              </w:rPr>
              <w:t>*</w:t>
            </w:r>
          </w:p>
        </w:tc>
      </w:tr>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r w:rsidRPr="00B07BCD">
              <w:rPr>
                <w:snapToGrid/>
                <w:color w:val="000000"/>
                <w:szCs w:val="23"/>
              </w:rPr>
              <w:t>Integrated Electrical Services, Inc.</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r w:rsidRPr="00B07BCD">
              <w:rPr>
                <w:snapToGrid/>
                <w:color w:val="000000"/>
                <w:szCs w:val="23"/>
              </w:rPr>
              <w:t>U.S. Concrete, Inc.</w:t>
            </w:r>
          </w:p>
        </w:tc>
      </w:tr>
      <w:tr w:rsidR="00494DCA" w:rsidRPr="00B07BCD" w:rsidTr="00494DCA">
        <w:trPr>
          <w:trHeight w:val="276"/>
          <w:jc w:val="center"/>
        </w:trPr>
        <w:tc>
          <w:tcPr>
            <w:tcW w:w="4246" w:type="dxa"/>
            <w:tcBorders>
              <w:top w:val="nil"/>
              <w:left w:val="nil"/>
              <w:bottom w:val="nil"/>
              <w:right w:val="nil"/>
            </w:tcBorders>
            <w:shd w:val="clear" w:color="auto" w:fill="auto"/>
            <w:noWrap/>
            <w:vAlign w:val="center"/>
            <w:hideMark/>
          </w:tcPr>
          <w:p w:rsidR="00494DCA" w:rsidRPr="00B07BCD" w:rsidRDefault="00494DCA" w:rsidP="00C63277">
            <w:pPr>
              <w:spacing w:after="0"/>
              <w:jc w:val="left"/>
              <w:rPr>
                <w:snapToGrid/>
                <w:color w:val="000000"/>
                <w:szCs w:val="23"/>
              </w:rPr>
            </w:pPr>
            <w:r w:rsidRPr="00B07BCD">
              <w:rPr>
                <w:snapToGrid/>
                <w:color w:val="000000"/>
                <w:szCs w:val="23"/>
              </w:rPr>
              <w:t>Layne Christensen Company</w:t>
            </w:r>
          </w:p>
        </w:tc>
        <w:tc>
          <w:tcPr>
            <w:tcW w:w="3346" w:type="dxa"/>
            <w:tcBorders>
              <w:top w:val="nil"/>
              <w:left w:val="nil"/>
              <w:bottom w:val="nil"/>
              <w:right w:val="nil"/>
            </w:tcBorders>
            <w:vAlign w:val="center"/>
          </w:tcPr>
          <w:p w:rsidR="00494DCA" w:rsidRPr="00B07BCD" w:rsidRDefault="00494DCA" w:rsidP="00C63277">
            <w:pPr>
              <w:spacing w:after="0"/>
              <w:jc w:val="left"/>
              <w:rPr>
                <w:snapToGrid/>
                <w:color w:val="000000"/>
                <w:szCs w:val="23"/>
              </w:rPr>
            </w:pPr>
            <w:proofErr w:type="spellStart"/>
            <w:r w:rsidRPr="00B07BCD">
              <w:rPr>
                <w:snapToGrid/>
                <w:color w:val="000000"/>
                <w:szCs w:val="23"/>
              </w:rPr>
              <w:t>Willbros</w:t>
            </w:r>
            <w:proofErr w:type="spellEnd"/>
            <w:r w:rsidRPr="00B07BCD">
              <w:rPr>
                <w:snapToGrid/>
                <w:color w:val="000000"/>
                <w:szCs w:val="23"/>
              </w:rPr>
              <w:t xml:space="preserve"> Group Inc.</w:t>
            </w:r>
          </w:p>
        </w:tc>
      </w:tr>
    </w:tbl>
    <w:p w:rsidR="00F60C79" w:rsidRDefault="00F60C79" w:rsidP="00494DCA">
      <w:pPr>
        <w:spacing w:before="100" w:after="40"/>
        <w:jc w:val="left"/>
      </w:pPr>
      <w:bookmarkStart w:id="98" w:name="_Toc445739591"/>
      <w:r w:rsidRPr="00B15CE1">
        <w:rPr>
          <w:rStyle w:val="002ProxyChar"/>
        </w:rPr>
        <w:t xml:space="preserve">Compensation Policies </w:t>
      </w:r>
      <w:r w:rsidR="004A6010">
        <w:rPr>
          <w:rStyle w:val="002ProxyChar"/>
        </w:rPr>
        <w:t>&amp;</w:t>
      </w:r>
      <w:r w:rsidRPr="00B15CE1">
        <w:rPr>
          <w:rStyle w:val="002ProxyChar"/>
        </w:rPr>
        <w:t xml:space="preserve"> Practices — Risk Management</w:t>
      </w:r>
      <w:bookmarkEnd w:id="98"/>
      <w:r>
        <w:t xml:space="preserve">.  </w:t>
      </w:r>
    </w:p>
    <w:p w:rsidR="00F60C79" w:rsidRDefault="00F60C79" w:rsidP="000763E4">
      <w:pPr>
        <w:spacing w:after="60"/>
        <w:jc w:val="left"/>
      </w:pPr>
      <w:r>
        <w:t xml:space="preserve">The Compensation Committee has reviewed the Company's compensation policies and practices, </w:t>
      </w:r>
      <w:r w:rsidR="00C954F6">
        <w:t xml:space="preserve">and </w:t>
      </w:r>
      <w:r>
        <w:t>in particular its incentive compensation and bonus policies, as they relate to risk management, and has determined that they support the Committee's compensation objectives without encouraging inappropriate, unintended</w:t>
      </w:r>
      <w:r w:rsidR="00C954F6">
        <w:t>,</w:t>
      </w:r>
      <w:r>
        <w:t xml:space="preserve"> or excessive risk-taking </w:t>
      </w:r>
      <w:r w:rsidR="003359EF">
        <w:t xml:space="preserve">by employees, </w:t>
      </w:r>
      <w:r>
        <w:t>and are not reasonably likely to have a material adverse effect on the Company.  The Compensation Committee elected not to hire an outside adviser in undertaking its risk review</w:t>
      </w:r>
      <w:r w:rsidR="00AE2B3F">
        <w:t xml:space="preserve"> in 201</w:t>
      </w:r>
      <w:r w:rsidR="003211D5">
        <w:t>5</w:t>
      </w:r>
      <w:r>
        <w:t xml:space="preserve">.  For a full description of the Company's significant risk factors, see </w:t>
      </w:r>
      <w:r w:rsidRPr="00A71D8F">
        <w:rPr>
          <w:i/>
        </w:rPr>
        <w:t xml:space="preserve">Item </w:t>
      </w:r>
      <w:proofErr w:type="spellStart"/>
      <w:r w:rsidRPr="00A71D8F">
        <w:rPr>
          <w:i/>
        </w:rPr>
        <w:t>1A</w:t>
      </w:r>
      <w:proofErr w:type="spellEnd"/>
      <w:r w:rsidRPr="00A71D8F">
        <w:rPr>
          <w:i/>
        </w:rPr>
        <w:t xml:space="preserve">. </w:t>
      </w:r>
      <w:r w:rsidRPr="005E54B9">
        <w:rPr>
          <w:i/>
        </w:rPr>
        <w:t>Risk Factors</w:t>
      </w:r>
      <w:r>
        <w:t xml:space="preserve"> in the Company's </w:t>
      </w:r>
      <w:r w:rsidR="002F2E6B">
        <w:t>2015</w:t>
      </w:r>
      <w:r>
        <w:t xml:space="preserve"> Annual Report on Form 10</w:t>
      </w:r>
      <w:r w:rsidR="00C954F6">
        <w:noBreakHyphen/>
      </w:r>
      <w:r>
        <w:t>K, which is available with this Proxy Statement.</w:t>
      </w:r>
    </w:p>
    <w:p w:rsidR="00F60C79" w:rsidRDefault="00F60C79" w:rsidP="000763E4">
      <w:pPr>
        <w:widowControl/>
        <w:spacing w:after="60"/>
        <w:jc w:val="left"/>
      </w:pPr>
      <w:r>
        <w:t xml:space="preserve">In reaching its conclusions, the </w:t>
      </w:r>
      <w:r w:rsidR="008E05C2">
        <w:t xml:space="preserve">Compensation Committee </w:t>
      </w:r>
      <w:r>
        <w:t xml:space="preserve">took into account </w:t>
      </w:r>
      <w:r w:rsidR="0054041C">
        <w:t xml:space="preserve">many factors, including </w:t>
      </w:r>
      <w:r>
        <w:t xml:space="preserve">the fact that </w:t>
      </w:r>
      <w:r w:rsidR="0054041C">
        <w:t xml:space="preserve">because of the nature of the Company's business, </w:t>
      </w:r>
      <w:r>
        <w:t xml:space="preserve">any short-term manipulation of financial results will have an adverse effect over time, </w:t>
      </w:r>
      <w:r w:rsidR="0054041C">
        <w:t>as follows</w:t>
      </w:r>
      <w:r>
        <w:t>:</w:t>
      </w:r>
    </w:p>
    <w:p w:rsidR="00F60C79" w:rsidRDefault="00F60C79" w:rsidP="00672977">
      <w:pPr>
        <w:pStyle w:val="ListParagraph"/>
        <w:numPr>
          <w:ilvl w:val="0"/>
          <w:numId w:val="23"/>
        </w:numPr>
        <w:spacing w:after="60"/>
        <w:contextualSpacing w:val="0"/>
        <w:jc w:val="left"/>
      </w:pPr>
      <w:r>
        <w:t>Incentive compensation is paid in part in equity that does not vest for a minimum of three years after it</w:t>
      </w:r>
      <w:r w:rsidR="00F43B74">
        <w:t xml:space="preserve"> i</w:t>
      </w:r>
      <w:r>
        <w:t>s awarded, thereby subjecting the recipient</w:t>
      </w:r>
      <w:r w:rsidR="00F43B74">
        <w:t xml:space="preserve">'s stock </w:t>
      </w:r>
      <w:r>
        <w:t>to extended market risk.</w:t>
      </w:r>
    </w:p>
    <w:p w:rsidR="00F60C79" w:rsidRDefault="00F60C79" w:rsidP="00672977">
      <w:pPr>
        <w:pStyle w:val="ListParagraph"/>
        <w:numPr>
          <w:ilvl w:val="0"/>
          <w:numId w:val="23"/>
        </w:numPr>
        <w:spacing w:after="60"/>
        <w:contextualSpacing w:val="0"/>
        <w:jc w:val="left"/>
      </w:pPr>
      <w:r>
        <w:t>Officers of the Company and its subsidiaries are subject to stock retention requirements,</w:t>
      </w:r>
      <w:r w:rsidR="004D4F67">
        <w:t xml:space="preserve"> which </w:t>
      </w:r>
      <w:r>
        <w:t xml:space="preserve">also subject </w:t>
      </w:r>
      <w:r w:rsidR="00F43B74">
        <w:t xml:space="preserve">their stockholdings </w:t>
      </w:r>
      <w:r>
        <w:t>to market risk.</w:t>
      </w:r>
    </w:p>
    <w:p w:rsidR="00F60C79" w:rsidRDefault="004D4F67" w:rsidP="00672977">
      <w:pPr>
        <w:pStyle w:val="ListParagraph"/>
        <w:numPr>
          <w:ilvl w:val="0"/>
          <w:numId w:val="23"/>
        </w:numPr>
        <w:spacing w:after="60"/>
        <w:contextualSpacing w:val="0"/>
        <w:jc w:val="left"/>
      </w:pPr>
      <w:r>
        <w:t>There are a</w:t>
      </w:r>
      <w:r w:rsidR="00F60C79">
        <w:t xml:space="preserve">ppropriate caps on the </w:t>
      </w:r>
      <w:r>
        <w:t xml:space="preserve">amount of </w:t>
      </w:r>
      <w:r w:rsidR="00F60C79">
        <w:t>incentive compensation</w:t>
      </w:r>
      <w:r w:rsidR="00482BDC">
        <w:t xml:space="preserve"> that can be earned</w:t>
      </w:r>
      <w:r w:rsidR="00F60C79">
        <w:t xml:space="preserve">.  </w:t>
      </w:r>
    </w:p>
    <w:p w:rsidR="00C44718" w:rsidRDefault="00C44718" w:rsidP="00672977">
      <w:pPr>
        <w:pStyle w:val="ListParagraph"/>
        <w:widowControl/>
        <w:numPr>
          <w:ilvl w:val="0"/>
          <w:numId w:val="23"/>
        </w:numPr>
        <w:spacing w:after="60"/>
        <w:contextualSpacing w:val="0"/>
        <w:jc w:val="left"/>
      </w:pPr>
      <w:r>
        <w:t>Most of the Company's projects are performed over the course of more than one calendar year, so that a manipulated increase in profits in one year will have the effect of reducing profits in the subsequent year</w:t>
      </w:r>
      <w:r w:rsidR="00B97FE5">
        <w:t xml:space="preserve"> and vice versa</w:t>
      </w:r>
      <w:r>
        <w:t xml:space="preserve">.  </w:t>
      </w:r>
    </w:p>
    <w:p w:rsidR="00F60C79" w:rsidRDefault="00F60C79" w:rsidP="002F2E6B">
      <w:pPr>
        <w:pStyle w:val="ListParagraph"/>
        <w:widowControl/>
        <w:numPr>
          <w:ilvl w:val="0"/>
          <w:numId w:val="23"/>
        </w:numPr>
        <w:spacing w:after="60"/>
        <w:contextualSpacing w:val="0"/>
        <w:jc w:val="left"/>
      </w:pPr>
      <w:r>
        <w:t xml:space="preserve">The Company's claw-back policy applies to </w:t>
      </w:r>
      <w:r w:rsidR="00E56508">
        <w:t xml:space="preserve">both cash and equity </w:t>
      </w:r>
      <w:r>
        <w:t xml:space="preserve">incentive compensation irrespective of </w:t>
      </w:r>
      <w:r w:rsidR="00586F24">
        <w:t xml:space="preserve">whether or not </w:t>
      </w:r>
      <w:r>
        <w:t>the recipient of the compensation</w:t>
      </w:r>
      <w:r w:rsidR="00586F24">
        <w:t xml:space="preserve"> was at fault</w:t>
      </w:r>
      <w:r>
        <w:t>.</w:t>
      </w:r>
    </w:p>
    <w:p w:rsidR="00F60C79" w:rsidRDefault="00F60C79" w:rsidP="00672977">
      <w:pPr>
        <w:tabs>
          <w:tab w:val="left" w:pos="720"/>
        </w:tabs>
        <w:spacing w:after="60"/>
        <w:jc w:val="left"/>
      </w:pPr>
      <w:r w:rsidRPr="00140073">
        <w:rPr>
          <w:i/>
        </w:rPr>
        <w:t>Percentage-</w:t>
      </w:r>
      <w:r>
        <w:rPr>
          <w:i/>
        </w:rPr>
        <w:t>o</w:t>
      </w:r>
      <w:r w:rsidRPr="00140073">
        <w:rPr>
          <w:i/>
        </w:rPr>
        <w:t>f-Completion Accounting</w:t>
      </w:r>
      <w:r>
        <w:t xml:space="preserve">.  </w:t>
      </w:r>
      <w:r w:rsidRPr="00D51F6F">
        <w:t xml:space="preserve">The Compensation Committee considers </w:t>
      </w:r>
      <w:r w:rsidR="006F50CB">
        <w:t>that</w:t>
      </w:r>
      <w:r w:rsidR="00B97FE5">
        <w:t xml:space="preserve">, by their nature, </w:t>
      </w:r>
      <w:r w:rsidRPr="00D51F6F">
        <w:t>the percentage-of-completion accounting and revenue recognition rules under which the Company is required to prepare its financial statements</w:t>
      </w:r>
      <w:r>
        <w:t xml:space="preserve"> </w:t>
      </w:r>
      <w:r w:rsidR="00B97FE5">
        <w:t xml:space="preserve">may be susceptible to </w:t>
      </w:r>
      <w:r>
        <w:t>manipulation</w:t>
      </w:r>
      <w:r w:rsidRPr="00D51F6F">
        <w:t>.</w:t>
      </w:r>
      <w:r>
        <w:t xml:space="preserve">  </w:t>
      </w:r>
      <w:r>
        <w:lastRenderedPageBreak/>
        <w:t xml:space="preserve">Percentage-of-completion accounting requires management to make estimates </w:t>
      </w:r>
      <w:r w:rsidR="00B97FE5">
        <w:t xml:space="preserve">at least every month </w:t>
      </w:r>
      <w:r>
        <w:t xml:space="preserve">of the cost of </w:t>
      </w:r>
      <w:r w:rsidR="007244A5">
        <w:t>completing projects that are on-</w:t>
      </w:r>
      <w:r>
        <w:t xml:space="preserve">going at the date of </w:t>
      </w:r>
      <w:r w:rsidR="00D203F4">
        <w:t xml:space="preserve">the </w:t>
      </w:r>
      <w:r w:rsidR="00B97FE5">
        <w:t>review</w:t>
      </w:r>
      <w:r>
        <w:t>.  These estimates directly affect reported profits, and profits</w:t>
      </w:r>
      <w:r w:rsidR="007244A5">
        <w:t>, directly or indirectly,</w:t>
      </w:r>
      <w:r>
        <w:t xml:space="preserve"> are the basis for the award of </w:t>
      </w:r>
      <w:r w:rsidR="00D203F4">
        <w:t xml:space="preserve">half or more of </w:t>
      </w:r>
      <w:r>
        <w:t xml:space="preserve">the Company's incentive compensation.  The Compensation Committee believes that this risk is mitigated </w:t>
      </w:r>
      <w:r w:rsidR="006F50CB">
        <w:t>in the following ways</w:t>
      </w:r>
      <w:r>
        <w:t>:</w:t>
      </w:r>
    </w:p>
    <w:p w:rsidR="00F60C79" w:rsidRDefault="00F60C79" w:rsidP="00672977">
      <w:pPr>
        <w:pStyle w:val="ListParagraph"/>
        <w:numPr>
          <w:ilvl w:val="0"/>
          <w:numId w:val="23"/>
        </w:numPr>
        <w:spacing w:after="60"/>
        <w:contextualSpacing w:val="0"/>
        <w:jc w:val="left"/>
      </w:pPr>
      <w:r>
        <w:t xml:space="preserve">Senior executives perform rigorous project reviews on a </w:t>
      </w:r>
      <w:r w:rsidRPr="00B97FE5">
        <w:t xml:space="preserve">monthly </w:t>
      </w:r>
      <w:r>
        <w:t xml:space="preserve">basis to </w:t>
      </w:r>
      <w:r w:rsidR="009F1D9B">
        <w:t>review estimates for any potential inaccuracies</w:t>
      </w:r>
      <w:r>
        <w:t>.</w:t>
      </w:r>
    </w:p>
    <w:p w:rsidR="00F60C79" w:rsidRDefault="00F60C79" w:rsidP="003608FC">
      <w:pPr>
        <w:pStyle w:val="ListParagraph"/>
        <w:widowControl/>
        <w:numPr>
          <w:ilvl w:val="0"/>
          <w:numId w:val="23"/>
        </w:numPr>
        <w:spacing w:after="60"/>
        <w:contextualSpacing w:val="0"/>
        <w:jc w:val="left"/>
      </w:pPr>
      <w:r>
        <w:t xml:space="preserve">The Company's </w:t>
      </w:r>
      <w:r w:rsidR="008D2A0F">
        <w:t>independent</w:t>
      </w:r>
      <w:r>
        <w:t xml:space="preserve"> auditors review the current year's estimates and compare them to actual, prior-year results, so that over </w:t>
      </w:r>
      <w:r w:rsidR="00D203F4">
        <w:t>time</w:t>
      </w:r>
      <w:r w:rsidR="00402482">
        <w:t>, any manipulation of results sh</w:t>
      </w:r>
      <w:r>
        <w:t xml:space="preserve">ould become evident.  </w:t>
      </w:r>
    </w:p>
    <w:p w:rsidR="00F60C79" w:rsidRPr="00672977" w:rsidRDefault="00380808" w:rsidP="00672977">
      <w:pPr>
        <w:pStyle w:val="ListParagraph"/>
        <w:numPr>
          <w:ilvl w:val="0"/>
          <w:numId w:val="23"/>
        </w:numPr>
        <w:contextualSpacing w:val="0"/>
        <w:jc w:val="left"/>
      </w:pPr>
      <w:r>
        <w:t>As noted above, because m</w:t>
      </w:r>
      <w:r w:rsidR="00F60C79">
        <w:t xml:space="preserve">ost of the Company's large projects are performed over the course of more than one </w:t>
      </w:r>
      <w:r w:rsidR="00D203F4">
        <w:t xml:space="preserve">fiscal </w:t>
      </w:r>
      <w:r w:rsidR="00F60C79">
        <w:t xml:space="preserve">year, </w:t>
      </w:r>
      <w:r>
        <w:t xml:space="preserve">a manipulated </w:t>
      </w:r>
      <w:r w:rsidR="00F60C79">
        <w:t>increase in profits in one year will have the effect of reducing profits in the subsequent year</w:t>
      </w:r>
      <w:r w:rsidR="00D203F4">
        <w:t>, and vice versa</w:t>
      </w:r>
      <w:r w:rsidR="00F60C79">
        <w:t xml:space="preserve">.  </w:t>
      </w:r>
    </w:p>
    <w:p w:rsidR="00F60C79" w:rsidRDefault="00F60C79" w:rsidP="00E7457B">
      <w:pPr>
        <w:jc w:val="left"/>
      </w:pPr>
      <w:r>
        <w:rPr>
          <w:i/>
        </w:rPr>
        <w:t xml:space="preserve">The </w:t>
      </w:r>
      <w:r w:rsidRPr="006F14C6">
        <w:rPr>
          <w:i/>
        </w:rPr>
        <w:t xml:space="preserve">Total </w:t>
      </w:r>
      <w:r w:rsidR="004A6D64">
        <w:rPr>
          <w:i/>
        </w:rPr>
        <w:t>Stockholder</w:t>
      </w:r>
      <w:r w:rsidRPr="006F14C6">
        <w:rPr>
          <w:i/>
        </w:rPr>
        <w:t xml:space="preserve"> Return </w:t>
      </w:r>
      <w:r>
        <w:rPr>
          <w:i/>
        </w:rPr>
        <w:t>Goal</w:t>
      </w:r>
      <w:r>
        <w:t xml:space="preserve">.  </w:t>
      </w:r>
      <w:r w:rsidR="00E2615F">
        <w:t>Under t</w:t>
      </w:r>
      <w:r>
        <w:t xml:space="preserve">he </w:t>
      </w:r>
      <w:r w:rsidR="00E56508">
        <w:t xml:space="preserve">2015 </w:t>
      </w:r>
      <w:r>
        <w:t xml:space="preserve">incentive </w:t>
      </w:r>
      <w:r w:rsidR="008B44BD">
        <w:t xml:space="preserve">compensation </w:t>
      </w:r>
      <w:r w:rsidR="00E56508">
        <w:t xml:space="preserve">program, </w:t>
      </w:r>
      <w:r>
        <w:t xml:space="preserve">the </w:t>
      </w:r>
      <w:r w:rsidR="00E56508">
        <w:t xml:space="preserve">long-term </w:t>
      </w:r>
      <w:r w:rsidR="008B44BD">
        <w:t xml:space="preserve">goal </w:t>
      </w:r>
      <w:r w:rsidR="00E56508">
        <w:t xml:space="preserve">for the vesting of restricted stock units </w:t>
      </w:r>
      <w:r w:rsidR="008B44BD">
        <w:t>is based on the change in the Compan</w:t>
      </w:r>
      <w:r w:rsidR="00CC60D9">
        <w:t>y's</w:t>
      </w:r>
      <w:r w:rsidR="008B44BD">
        <w:t xml:space="preserve"> </w:t>
      </w:r>
      <w:r w:rsidR="00D203F4">
        <w:t xml:space="preserve">stock price </w:t>
      </w:r>
      <w:r w:rsidR="008B44BD">
        <w:t>over a period of three years</w:t>
      </w:r>
      <w:r w:rsidR="00F07EBE">
        <w:t xml:space="preserve"> </w:t>
      </w:r>
      <w:r w:rsidR="002F2E6B">
        <w:t xml:space="preserve">(total shareholder return, or TSR) </w:t>
      </w:r>
      <w:r w:rsidR="00F07EBE">
        <w:t xml:space="preserve">compared </w:t>
      </w:r>
      <w:r w:rsidR="00CC60D9">
        <w:t xml:space="preserve">with the </w:t>
      </w:r>
      <w:r w:rsidR="002F2E6B">
        <w:t xml:space="preserve">TSR </w:t>
      </w:r>
      <w:r w:rsidR="00CC60D9">
        <w:t>of</w:t>
      </w:r>
      <w:r w:rsidR="003E7304">
        <w:t xml:space="preserve"> </w:t>
      </w:r>
      <w:r w:rsidR="00F07EBE">
        <w:t>a peer group of companies</w:t>
      </w:r>
      <w:r w:rsidR="00CC60D9">
        <w:t xml:space="preserve"> over the same period</w:t>
      </w:r>
      <w:r w:rsidR="008B44BD">
        <w:t xml:space="preserve">.  </w:t>
      </w:r>
      <w:r>
        <w:t xml:space="preserve">The Committee believes that manipulation of the Company's stock price </w:t>
      </w:r>
      <w:r w:rsidR="00F07EBE">
        <w:t xml:space="preserve">to achieve this goal would be </w:t>
      </w:r>
      <w:r>
        <w:t xml:space="preserve">particularly difficult because the Company's small float makes the stock price susceptible to swings and variations unaffected by the Company's financial performance, </w:t>
      </w:r>
      <w:r w:rsidR="005A02EA">
        <w:t xml:space="preserve">and because of </w:t>
      </w:r>
      <w:r>
        <w:t>the unpredictability of wh</w:t>
      </w:r>
      <w:r w:rsidR="00D203F4">
        <w:t>ich</w:t>
      </w:r>
      <w:r>
        <w:t xml:space="preserve"> </w:t>
      </w:r>
      <w:r w:rsidR="00F07EBE">
        <w:t>events and circumstances actually affect</w:t>
      </w:r>
      <w:r>
        <w:t xml:space="preserve"> the Company's stock price.</w:t>
      </w:r>
    </w:p>
    <w:p w:rsidR="001B72A9" w:rsidRDefault="00FC1A35" w:rsidP="00672977">
      <w:pPr>
        <w:widowControl/>
        <w:spacing w:after="60"/>
        <w:jc w:val="left"/>
      </w:pPr>
      <w:bookmarkStart w:id="99" w:name="_Toc381354149"/>
      <w:bookmarkStart w:id="100" w:name="_Toc445739592"/>
      <w:r w:rsidRPr="002F1088">
        <w:rPr>
          <w:rStyle w:val="002ProxyChar"/>
        </w:rPr>
        <w:t>Employment Agreements of the Named Executive Officers</w:t>
      </w:r>
      <w:bookmarkEnd w:id="99"/>
      <w:bookmarkEnd w:id="100"/>
      <w:r>
        <w:t xml:space="preserve">.  </w:t>
      </w:r>
      <w:r w:rsidR="008F1EEF">
        <w:t xml:space="preserve">For the effects of termination of employment under the employment agreements of the named executive officers, see the section below entitled </w:t>
      </w:r>
      <w:r w:rsidR="008F1EEF" w:rsidRPr="008F1EEF">
        <w:rPr>
          <w:i/>
        </w:rPr>
        <w:t>Potential Payments upon Termination or Change-in-Control</w:t>
      </w:r>
      <w:r w:rsidR="008F1EEF">
        <w:t xml:space="preserve">.  </w:t>
      </w:r>
    </w:p>
    <w:p w:rsidR="00286A61" w:rsidRDefault="00286A61" w:rsidP="00672977">
      <w:pPr>
        <w:widowControl/>
        <w:jc w:val="left"/>
      </w:pPr>
      <w:r>
        <w:t xml:space="preserve">The following table shows the material financial features of the employment agreements </w:t>
      </w:r>
      <w:r w:rsidR="002F2E6B">
        <w:t xml:space="preserve">or </w:t>
      </w:r>
      <w:r w:rsidR="00727D2B">
        <w:t xml:space="preserve">employment </w:t>
      </w:r>
      <w:r w:rsidR="002F2E6B">
        <w:t xml:space="preserve">arrangements </w:t>
      </w:r>
      <w:r>
        <w:t>of the named executive officers</w:t>
      </w:r>
      <w:r w:rsidR="002057E3">
        <w:t xml:space="preserve">.  </w:t>
      </w:r>
      <w:r w:rsidR="00593B2F">
        <w:t>Messrs. Varello and Barzun do not participate in an incentive plan.  Mr. Ballschmiede</w:t>
      </w:r>
      <w:r w:rsidR="0096293A">
        <w:t>, who joined the Company in late 2015</w:t>
      </w:r>
      <w:r w:rsidR="00256392">
        <w:t>,</w:t>
      </w:r>
      <w:r w:rsidR="0096293A">
        <w:t xml:space="preserve"> </w:t>
      </w:r>
      <w:r w:rsidR="00593B2F">
        <w:t>participate</w:t>
      </w:r>
      <w:r w:rsidR="00256392">
        <w:t>s</w:t>
      </w:r>
      <w:r w:rsidR="00593B2F">
        <w:t xml:space="preserve"> in </w:t>
      </w:r>
      <w:r w:rsidR="00406F23">
        <w:t xml:space="preserve">the </w:t>
      </w:r>
      <w:r w:rsidR="0096293A">
        <w:t xml:space="preserve">2016 </w:t>
      </w:r>
      <w:r w:rsidR="00406F23">
        <w:t xml:space="preserve">executive </w:t>
      </w:r>
      <w:r w:rsidR="00593B2F">
        <w:t xml:space="preserve">incentive </w:t>
      </w:r>
      <w:r w:rsidR="00C033C5">
        <w:t xml:space="preserve">compensation </w:t>
      </w:r>
      <w:r w:rsidR="00593B2F">
        <w:t xml:space="preserve">plan </w:t>
      </w:r>
      <w:r w:rsidR="00406F23">
        <w:t xml:space="preserve">described </w:t>
      </w:r>
      <w:r w:rsidR="00256392">
        <w:t>above</w:t>
      </w:r>
      <w:r w:rsidR="00593B2F">
        <w:t xml:space="preserve">.  </w:t>
      </w:r>
      <w:r w:rsidR="00727D2B">
        <w:t xml:space="preserve">Messrs. Ballschmiede and </w:t>
      </w:r>
      <w:r w:rsidR="003211D5">
        <w:t xml:space="preserve">Blair </w:t>
      </w:r>
      <w:r w:rsidR="00727D2B">
        <w:t xml:space="preserve">do </w:t>
      </w:r>
      <w:r w:rsidR="003211D5">
        <w:t>not have employment agreement</w:t>
      </w:r>
      <w:r w:rsidR="00727D2B">
        <w:t>s</w:t>
      </w:r>
      <w:r w:rsidR="003211D5">
        <w:t>.</w:t>
      </w:r>
      <w:r w:rsidR="00593B2F">
        <w:t xml:space="preserve">  </w:t>
      </w:r>
    </w:p>
    <w:tbl>
      <w:tblPr>
        <w:tblStyle w:val="TableGrid"/>
        <w:tblW w:w="8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28"/>
        <w:gridCol w:w="980"/>
        <w:gridCol w:w="1398"/>
        <w:gridCol w:w="1052"/>
        <w:gridCol w:w="1216"/>
        <w:gridCol w:w="811"/>
        <w:gridCol w:w="1006"/>
      </w:tblGrid>
      <w:tr w:rsidR="00593B2F" w:rsidRPr="00FF7657" w:rsidTr="001E1A8F">
        <w:trPr>
          <w:cantSplit/>
          <w:tblHeader/>
          <w:jc w:val="center"/>
        </w:trPr>
        <w:tc>
          <w:tcPr>
            <w:tcW w:w="2528" w:type="dxa"/>
            <w:tcBorders>
              <w:bottom w:val="single" w:sz="4" w:space="0" w:color="auto"/>
            </w:tcBorders>
            <w:shd w:val="clear" w:color="auto" w:fill="FFFFFF" w:themeFill="background1"/>
            <w:tcMar>
              <w:top w:w="58" w:type="dxa"/>
              <w:left w:w="115" w:type="dxa"/>
              <w:bottom w:w="58" w:type="dxa"/>
              <w:right w:w="115" w:type="dxa"/>
            </w:tcMar>
            <w:vAlign w:val="bottom"/>
          </w:tcPr>
          <w:p w:rsidR="00593B2F" w:rsidRPr="00F17691" w:rsidRDefault="00593B2F" w:rsidP="00A93138">
            <w:pPr>
              <w:widowControl/>
              <w:spacing w:after="0"/>
              <w:jc w:val="center"/>
              <w:rPr>
                <w:b/>
                <w:sz w:val="18"/>
                <w:szCs w:val="18"/>
              </w:rPr>
            </w:pPr>
            <w:r w:rsidRPr="00F17691">
              <w:rPr>
                <w:b/>
                <w:sz w:val="18"/>
                <w:szCs w:val="18"/>
              </w:rPr>
              <w:t>Name</w:t>
            </w:r>
          </w:p>
        </w:tc>
        <w:tc>
          <w:tcPr>
            <w:tcW w:w="980" w:type="dxa"/>
            <w:tcBorders>
              <w:bottom w:val="single" w:sz="4" w:space="0" w:color="auto"/>
            </w:tcBorders>
            <w:shd w:val="clear" w:color="auto" w:fill="FFFFFF" w:themeFill="background1"/>
            <w:tcMar>
              <w:top w:w="58" w:type="dxa"/>
              <w:left w:w="115" w:type="dxa"/>
              <w:bottom w:w="58" w:type="dxa"/>
              <w:right w:w="115" w:type="dxa"/>
            </w:tcMar>
            <w:vAlign w:val="bottom"/>
          </w:tcPr>
          <w:p w:rsidR="00593B2F" w:rsidRPr="00F17691" w:rsidRDefault="00593B2F" w:rsidP="00A93138">
            <w:pPr>
              <w:widowControl/>
              <w:spacing w:after="0"/>
              <w:jc w:val="center"/>
              <w:rPr>
                <w:b/>
                <w:sz w:val="18"/>
                <w:szCs w:val="18"/>
              </w:rPr>
            </w:pPr>
            <w:r w:rsidRPr="00F17691">
              <w:rPr>
                <w:b/>
                <w:sz w:val="18"/>
                <w:szCs w:val="18"/>
              </w:rPr>
              <w:t>Annual Salary</w:t>
            </w:r>
          </w:p>
        </w:tc>
        <w:tc>
          <w:tcPr>
            <w:tcW w:w="1398" w:type="dxa"/>
            <w:tcBorders>
              <w:bottom w:val="single" w:sz="4" w:space="0" w:color="auto"/>
            </w:tcBorders>
            <w:shd w:val="clear" w:color="auto" w:fill="FFFFFF" w:themeFill="background1"/>
            <w:vAlign w:val="bottom"/>
          </w:tcPr>
          <w:p w:rsidR="00593B2F" w:rsidRPr="00F17691" w:rsidRDefault="00593B2F" w:rsidP="00A93138">
            <w:pPr>
              <w:widowControl/>
              <w:spacing w:after="0"/>
              <w:jc w:val="center"/>
              <w:rPr>
                <w:sz w:val="18"/>
                <w:szCs w:val="18"/>
              </w:rPr>
            </w:pPr>
            <w:r w:rsidRPr="00F17691">
              <w:rPr>
                <w:b/>
                <w:sz w:val="18"/>
                <w:szCs w:val="18"/>
              </w:rPr>
              <w:t>Target Incentive Compensation as a Percent of Salary</w:t>
            </w:r>
          </w:p>
        </w:tc>
        <w:tc>
          <w:tcPr>
            <w:tcW w:w="1052" w:type="dxa"/>
            <w:tcBorders>
              <w:bottom w:val="single" w:sz="4" w:space="0" w:color="auto"/>
            </w:tcBorders>
            <w:shd w:val="clear" w:color="auto" w:fill="FFFFFF" w:themeFill="background1"/>
            <w:vAlign w:val="bottom"/>
          </w:tcPr>
          <w:p w:rsidR="00593B2F" w:rsidRDefault="00593B2F" w:rsidP="002C2104">
            <w:pPr>
              <w:widowControl/>
              <w:spacing w:after="0"/>
              <w:jc w:val="center"/>
              <w:rPr>
                <w:b/>
                <w:sz w:val="18"/>
                <w:szCs w:val="18"/>
              </w:rPr>
            </w:pPr>
            <w:r>
              <w:rPr>
                <w:b/>
                <w:sz w:val="18"/>
                <w:szCs w:val="18"/>
              </w:rPr>
              <w:t>Percent Allocated to EPS Goal</w:t>
            </w:r>
          </w:p>
        </w:tc>
        <w:tc>
          <w:tcPr>
            <w:tcW w:w="1216" w:type="dxa"/>
            <w:tcBorders>
              <w:bottom w:val="single" w:sz="4" w:space="0" w:color="auto"/>
            </w:tcBorders>
            <w:shd w:val="clear" w:color="auto" w:fill="FFFFFF" w:themeFill="background1"/>
          </w:tcPr>
          <w:p w:rsidR="00593B2F" w:rsidRDefault="00593B2F" w:rsidP="00954C7E">
            <w:pPr>
              <w:widowControl/>
              <w:spacing w:after="0"/>
              <w:jc w:val="center"/>
              <w:rPr>
                <w:b/>
                <w:sz w:val="18"/>
                <w:szCs w:val="18"/>
              </w:rPr>
            </w:pPr>
            <w:r>
              <w:rPr>
                <w:b/>
                <w:sz w:val="18"/>
                <w:szCs w:val="18"/>
              </w:rPr>
              <w:t xml:space="preserve">Percent Allocated to </w:t>
            </w:r>
            <w:r w:rsidR="00954C7E">
              <w:rPr>
                <w:b/>
                <w:sz w:val="18"/>
                <w:szCs w:val="18"/>
              </w:rPr>
              <w:t xml:space="preserve">Individual Performance </w:t>
            </w:r>
            <w:r>
              <w:rPr>
                <w:b/>
                <w:sz w:val="18"/>
                <w:szCs w:val="18"/>
              </w:rPr>
              <w:t>Goals</w:t>
            </w:r>
          </w:p>
        </w:tc>
        <w:tc>
          <w:tcPr>
            <w:tcW w:w="811" w:type="dxa"/>
            <w:tcBorders>
              <w:bottom w:val="single" w:sz="4" w:space="0" w:color="auto"/>
            </w:tcBorders>
            <w:shd w:val="clear" w:color="auto" w:fill="FFFFFF" w:themeFill="background1"/>
            <w:vAlign w:val="bottom"/>
          </w:tcPr>
          <w:p w:rsidR="00593B2F" w:rsidRPr="00F17691" w:rsidRDefault="00593B2F" w:rsidP="00931DE3">
            <w:pPr>
              <w:widowControl/>
              <w:spacing w:after="0"/>
              <w:jc w:val="center"/>
              <w:rPr>
                <w:b/>
                <w:sz w:val="18"/>
                <w:szCs w:val="18"/>
              </w:rPr>
            </w:pPr>
            <w:r>
              <w:rPr>
                <w:b/>
                <w:sz w:val="18"/>
                <w:szCs w:val="18"/>
              </w:rPr>
              <w:t>Percent Paid in Cash</w:t>
            </w:r>
          </w:p>
        </w:tc>
        <w:tc>
          <w:tcPr>
            <w:tcW w:w="1006" w:type="dxa"/>
            <w:tcBorders>
              <w:bottom w:val="single" w:sz="4" w:space="0" w:color="auto"/>
            </w:tcBorders>
            <w:shd w:val="clear" w:color="auto" w:fill="FFFFFF" w:themeFill="background1"/>
            <w:vAlign w:val="bottom"/>
          </w:tcPr>
          <w:p w:rsidR="00593B2F" w:rsidRDefault="00593B2F" w:rsidP="00931DE3">
            <w:pPr>
              <w:widowControl/>
              <w:spacing w:after="0"/>
              <w:jc w:val="center"/>
              <w:rPr>
                <w:b/>
                <w:sz w:val="18"/>
                <w:szCs w:val="18"/>
              </w:rPr>
            </w:pPr>
            <w:r>
              <w:rPr>
                <w:b/>
                <w:sz w:val="18"/>
                <w:szCs w:val="18"/>
              </w:rPr>
              <w:t>Percent Paid in Restricted Stock</w:t>
            </w:r>
          </w:p>
        </w:tc>
      </w:tr>
      <w:tr w:rsidR="00593B2F" w:rsidRPr="00FF7657" w:rsidTr="001E1A8F">
        <w:trPr>
          <w:jc w:val="center"/>
        </w:trPr>
        <w:tc>
          <w:tcPr>
            <w:tcW w:w="2528" w:type="dxa"/>
            <w:tcBorders>
              <w:top w:val="single" w:sz="4" w:space="0" w:color="auto"/>
            </w:tcBorders>
            <w:shd w:val="clear" w:color="auto" w:fill="C6D9F1" w:themeFill="text2" w:themeFillTint="33"/>
            <w:tcMar>
              <w:top w:w="58" w:type="dxa"/>
              <w:left w:w="115" w:type="dxa"/>
              <w:bottom w:w="58" w:type="dxa"/>
              <w:right w:w="115" w:type="dxa"/>
            </w:tcMar>
          </w:tcPr>
          <w:p w:rsidR="00593B2F" w:rsidRPr="00FF7657" w:rsidRDefault="00593B2F" w:rsidP="00A93138">
            <w:pPr>
              <w:widowControl/>
              <w:spacing w:after="0"/>
              <w:jc w:val="left"/>
              <w:rPr>
                <w:sz w:val="20"/>
              </w:rPr>
            </w:pPr>
            <w:r>
              <w:rPr>
                <w:sz w:val="20"/>
              </w:rPr>
              <w:t>Paul J. Varello</w:t>
            </w:r>
          </w:p>
        </w:tc>
        <w:tc>
          <w:tcPr>
            <w:tcW w:w="980" w:type="dxa"/>
            <w:tcBorders>
              <w:top w:val="single" w:sz="4" w:space="0" w:color="auto"/>
            </w:tcBorders>
            <w:shd w:val="clear" w:color="auto" w:fill="C6D9F1" w:themeFill="text2" w:themeFillTint="33"/>
            <w:tcMar>
              <w:top w:w="58" w:type="dxa"/>
              <w:left w:w="115" w:type="dxa"/>
              <w:bottom w:w="58" w:type="dxa"/>
              <w:right w:w="115" w:type="dxa"/>
            </w:tcMar>
          </w:tcPr>
          <w:p w:rsidR="00593B2F" w:rsidRDefault="00593B2F" w:rsidP="00A93138">
            <w:pPr>
              <w:widowControl/>
              <w:spacing w:after="0"/>
              <w:jc w:val="center"/>
              <w:rPr>
                <w:sz w:val="20"/>
              </w:rPr>
            </w:pPr>
            <w:r>
              <w:rPr>
                <w:sz w:val="20"/>
              </w:rPr>
              <w:t>$1.00</w:t>
            </w:r>
          </w:p>
        </w:tc>
        <w:tc>
          <w:tcPr>
            <w:tcW w:w="1398" w:type="dxa"/>
            <w:tcBorders>
              <w:top w:val="single" w:sz="4" w:space="0" w:color="auto"/>
            </w:tcBorders>
            <w:shd w:val="clear" w:color="auto" w:fill="C6D9F1" w:themeFill="text2" w:themeFillTint="33"/>
          </w:tcPr>
          <w:p w:rsidR="00593B2F" w:rsidRPr="00FF7657" w:rsidRDefault="00593B2F" w:rsidP="00A93138">
            <w:pPr>
              <w:widowControl/>
              <w:spacing w:after="0"/>
              <w:jc w:val="center"/>
              <w:rPr>
                <w:sz w:val="20"/>
              </w:rPr>
            </w:pPr>
            <w:r>
              <w:rPr>
                <w:sz w:val="20"/>
              </w:rPr>
              <w:t>N/A</w:t>
            </w:r>
          </w:p>
        </w:tc>
        <w:tc>
          <w:tcPr>
            <w:tcW w:w="1052" w:type="dxa"/>
            <w:tcBorders>
              <w:top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N/A</w:t>
            </w:r>
          </w:p>
        </w:tc>
        <w:tc>
          <w:tcPr>
            <w:tcW w:w="1216" w:type="dxa"/>
            <w:tcBorders>
              <w:top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N/A</w:t>
            </w:r>
          </w:p>
        </w:tc>
        <w:tc>
          <w:tcPr>
            <w:tcW w:w="811" w:type="dxa"/>
            <w:tcBorders>
              <w:top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N/A</w:t>
            </w:r>
          </w:p>
        </w:tc>
        <w:tc>
          <w:tcPr>
            <w:tcW w:w="1006" w:type="dxa"/>
            <w:tcBorders>
              <w:top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N/A</w:t>
            </w:r>
          </w:p>
        </w:tc>
      </w:tr>
      <w:tr w:rsidR="00593B2F" w:rsidRPr="00FF7657" w:rsidTr="001E1A8F">
        <w:trPr>
          <w:jc w:val="center"/>
        </w:trPr>
        <w:tc>
          <w:tcPr>
            <w:tcW w:w="2528" w:type="dxa"/>
            <w:shd w:val="clear" w:color="auto" w:fill="FFFFFF" w:themeFill="background1"/>
            <w:tcMar>
              <w:top w:w="58" w:type="dxa"/>
              <w:left w:w="115" w:type="dxa"/>
              <w:bottom w:w="58" w:type="dxa"/>
              <w:right w:w="115" w:type="dxa"/>
            </w:tcMar>
          </w:tcPr>
          <w:p w:rsidR="00593B2F" w:rsidRPr="00FF7657" w:rsidRDefault="00593B2F" w:rsidP="00A93138">
            <w:pPr>
              <w:widowControl/>
              <w:spacing w:after="0"/>
              <w:jc w:val="left"/>
              <w:rPr>
                <w:sz w:val="20"/>
              </w:rPr>
            </w:pPr>
            <w:r>
              <w:rPr>
                <w:sz w:val="20"/>
              </w:rPr>
              <w:t>Ronald A. Ballschmiede</w:t>
            </w:r>
            <w:r w:rsidR="001E1A8F">
              <w:rPr>
                <w:sz w:val="20"/>
              </w:rPr>
              <w:t xml:space="preserve"> </w:t>
            </w:r>
            <w:r w:rsidR="001E1A8F">
              <w:rPr>
                <w:sz w:val="20"/>
                <w:vertAlign w:val="superscript"/>
              </w:rPr>
              <w:t>(1</w:t>
            </w:r>
            <w:r w:rsidR="001E1A8F" w:rsidRPr="00A64642">
              <w:rPr>
                <w:sz w:val="20"/>
                <w:vertAlign w:val="superscript"/>
              </w:rPr>
              <w:t>)</w:t>
            </w:r>
          </w:p>
        </w:tc>
        <w:tc>
          <w:tcPr>
            <w:tcW w:w="980" w:type="dxa"/>
            <w:shd w:val="clear" w:color="auto" w:fill="FFFFFF" w:themeFill="background1"/>
            <w:tcMar>
              <w:top w:w="58" w:type="dxa"/>
              <w:left w:w="115" w:type="dxa"/>
              <w:bottom w:w="58" w:type="dxa"/>
              <w:right w:w="115" w:type="dxa"/>
            </w:tcMar>
          </w:tcPr>
          <w:p w:rsidR="00593B2F" w:rsidRDefault="00593B2F" w:rsidP="00A93138">
            <w:pPr>
              <w:widowControl/>
              <w:spacing w:after="0"/>
              <w:jc w:val="center"/>
              <w:rPr>
                <w:sz w:val="20"/>
              </w:rPr>
            </w:pPr>
            <w:r>
              <w:rPr>
                <w:sz w:val="20"/>
              </w:rPr>
              <w:t>400,000</w:t>
            </w:r>
          </w:p>
        </w:tc>
        <w:tc>
          <w:tcPr>
            <w:tcW w:w="1398" w:type="dxa"/>
            <w:shd w:val="clear" w:color="auto" w:fill="FFFFFF" w:themeFill="background1"/>
          </w:tcPr>
          <w:p w:rsidR="00593B2F" w:rsidRPr="00FF7657" w:rsidRDefault="0020058F" w:rsidP="0030397C">
            <w:pPr>
              <w:widowControl/>
              <w:spacing w:after="0"/>
              <w:jc w:val="center"/>
              <w:rPr>
                <w:sz w:val="20"/>
              </w:rPr>
            </w:pPr>
            <w:r>
              <w:rPr>
                <w:sz w:val="20"/>
              </w:rPr>
              <w:t>170%</w:t>
            </w:r>
          </w:p>
        </w:tc>
        <w:tc>
          <w:tcPr>
            <w:tcW w:w="1052" w:type="dxa"/>
            <w:shd w:val="clear" w:color="auto" w:fill="FFFFFF" w:themeFill="background1"/>
          </w:tcPr>
          <w:p w:rsidR="00593B2F" w:rsidRDefault="0020058F" w:rsidP="0030397C">
            <w:pPr>
              <w:widowControl/>
              <w:spacing w:after="0"/>
              <w:jc w:val="center"/>
              <w:rPr>
                <w:sz w:val="20"/>
              </w:rPr>
            </w:pPr>
            <w:r>
              <w:rPr>
                <w:sz w:val="20"/>
              </w:rPr>
              <w:t>50%</w:t>
            </w:r>
          </w:p>
        </w:tc>
        <w:tc>
          <w:tcPr>
            <w:tcW w:w="1216" w:type="dxa"/>
            <w:shd w:val="clear" w:color="auto" w:fill="FFFFFF" w:themeFill="background1"/>
          </w:tcPr>
          <w:p w:rsidR="00593B2F" w:rsidRDefault="0020058F" w:rsidP="0030397C">
            <w:pPr>
              <w:widowControl/>
              <w:spacing w:after="0"/>
              <w:jc w:val="center"/>
              <w:rPr>
                <w:sz w:val="20"/>
              </w:rPr>
            </w:pPr>
            <w:r>
              <w:rPr>
                <w:sz w:val="20"/>
              </w:rPr>
              <w:t>50%</w:t>
            </w:r>
          </w:p>
        </w:tc>
        <w:tc>
          <w:tcPr>
            <w:tcW w:w="811" w:type="dxa"/>
            <w:shd w:val="clear" w:color="auto" w:fill="FFFFFF" w:themeFill="background1"/>
          </w:tcPr>
          <w:p w:rsidR="00593B2F" w:rsidRDefault="0020058F" w:rsidP="0030397C">
            <w:pPr>
              <w:widowControl/>
              <w:spacing w:after="0"/>
              <w:jc w:val="center"/>
              <w:rPr>
                <w:sz w:val="20"/>
              </w:rPr>
            </w:pPr>
            <w:r>
              <w:rPr>
                <w:sz w:val="20"/>
              </w:rPr>
              <w:t>50%</w:t>
            </w:r>
          </w:p>
        </w:tc>
        <w:tc>
          <w:tcPr>
            <w:tcW w:w="1006" w:type="dxa"/>
            <w:shd w:val="clear" w:color="auto" w:fill="FFFFFF" w:themeFill="background1"/>
          </w:tcPr>
          <w:p w:rsidR="00593B2F" w:rsidRDefault="0020058F" w:rsidP="0030397C">
            <w:pPr>
              <w:widowControl/>
              <w:spacing w:after="0"/>
              <w:jc w:val="center"/>
              <w:rPr>
                <w:sz w:val="20"/>
              </w:rPr>
            </w:pPr>
            <w:r>
              <w:rPr>
                <w:sz w:val="20"/>
              </w:rPr>
              <w:t>50%</w:t>
            </w:r>
          </w:p>
        </w:tc>
      </w:tr>
      <w:tr w:rsidR="00593B2F" w:rsidRPr="00FF7657" w:rsidTr="001E1A8F">
        <w:trPr>
          <w:jc w:val="center"/>
        </w:trPr>
        <w:tc>
          <w:tcPr>
            <w:tcW w:w="2528" w:type="dxa"/>
            <w:shd w:val="clear" w:color="auto" w:fill="C6D9F1" w:themeFill="text2" w:themeFillTint="33"/>
            <w:tcMar>
              <w:top w:w="58" w:type="dxa"/>
              <w:left w:w="115" w:type="dxa"/>
              <w:bottom w:w="58" w:type="dxa"/>
              <w:right w:w="115" w:type="dxa"/>
            </w:tcMar>
          </w:tcPr>
          <w:p w:rsidR="00593B2F" w:rsidRPr="00FF7657" w:rsidRDefault="00593B2F" w:rsidP="00A93138">
            <w:pPr>
              <w:widowControl/>
              <w:spacing w:after="0"/>
              <w:jc w:val="left"/>
              <w:rPr>
                <w:sz w:val="20"/>
              </w:rPr>
            </w:pPr>
            <w:r>
              <w:rPr>
                <w:sz w:val="20"/>
              </w:rPr>
              <w:t>Roger M. Barzun</w:t>
            </w:r>
            <w:r w:rsidR="00406F23">
              <w:rPr>
                <w:sz w:val="20"/>
              </w:rPr>
              <w:t xml:space="preserve"> </w:t>
            </w:r>
            <w:r w:rsidR="00406F23" w:rsidRPr="00A64642">
              <w:rPr>
                <w:sz w:val="20"/>
                <w:vertAlign w:val="superscript"/>
              </w:rPr>
              <w:t>(2)</w:t>
            </w:r>
          </w:p>
        </w:tc>
        <w:tc>
          <w:tcPr>
            <w:tcW w:w="980" w:type="dxa"/>
            <w:shd w:val="clear" w:color="auto" w:fill="C6D9F1" w:themeFill="text2" w:themeFillTint="33"/>
            <w:tcMar>
              <w:top w:w="58" w:type="dxa"/>
              <w:left w:w="115" w:type="dxa"/>
              <w:bottom w:w="58" w:type="dxa"/>
              <w:right w:w="115" w:type="dxa"/>
            </w:tcMar>
          </w:tcPr>
          <w:p w:rsidR="00593B2F" w:rsidRDefault="00593B2F" w:rsidP="00A93138">
            <w:pPr>
              <w:widowControl/>
              <w:spacing w:after="0"/>
              <w:jc w:val="center"/>
              <w:rPr>
                <w:sz w:val="20"/>
              </w:rPr>
            </w:pPr>
            <w:r>
              <w:rPr>
                <w:sz w:val="20"/>
              </w:rPr>
              <w:t>$100,000</w:t>
            </w:r>
          </w:p>
        </w:tc>
        <w:tc>
          <w:tcPr>
            <w:tcW w:w="1398" w:type="dxa"/>
            <w:shd w:val="clear" w:color="auto" w:fill="C6D9F1" w:themeFill="text2" w:themeFillTint="33"/>
          </w:tcPr>
          <w:p w:rsidR="00593B2F" w:rsidRPr="00FF7657" w:rsidRDefault="00593B2F" w:rsidP="0030397C">
            <w:pPr>
              <w:widowControl/>
              <w:spacing w:after="0"/>
              <w:jc w:val="center"/>
              <w:rPr>
                <w:sz w:val="20"/>
              </w:rPr>
            </w:pPr>
            <w:r>
              <w:rPr>
                <w:sz w:val="20"/>
              </w:rPr>
              <w:t>N/A</w:t>
            </w:r>
          </w:p>
        </w:tc>
        <w:tc>
          <w:tcPr>
            <w:tcW w:w="1052" w:type="dxa"/>
            <w:shd w:val="clear" w:color="auto" w:fill="C6D9F1" w:themeFill="text2" w:themeFillTint="33"/>
          </w:tcPr>
          <w:p w:rsidR="00593B2F" w:rsidRDefault="00593B2F" w:rsidP="0030397C">
            <w:pPr>
              <w:widowControl/>
              <w:spacing w:after="0"/>
              <w:jc w:val="center"/>
              <w:rPr>
                <w:sz w:val="20"/>
              </w:rPr>
            </w:pPr>
            <w:r>
              <w:rPr>
                <w:sz w:val="20"/>
              </w:rPr>
              <w:t>N/A</w:t>
            </w:r>
          </w:p>
        </w:tc>
        <w:tc>
          <w:tcPr>
            <w:tcW w:w="1216" w:type="dxa"/>
            <w:shd w:val="clear" w:color="auto" w:fill="C6D9F1" w:themeFill="text2" w:themeFillTint="33"/>
          </w:tcPr>
          <w:p w:rsidR="00593B2F" w:rsidRDefault="00593B2F" w:rsidP="0030397C">
            <w:pPr>
              <w:widowControl/>
              <w:spacing w:after="0"/>
              <w:jc w:val="center"/>
              <w:rPr>
                <w:sz w:val="20"/>
              </w:rPr>
            </w:pPr>
            <w:r>
              <w:rPr>
                <w:sz w:val="20"/>
              </w:rPr>
              <w:t>N/A</w:t>
            </w:r>
          </w:p>
        </w:tc>
        <w:tc>
          <w:tcPr>
            <w:tcW w:w="811" w:type="dxa"/>
            <w:shd w:val="clear" w:color="auto" w:fill="C6D9F1" w:themeFill="text2" w:themeFillTint="33"/>
          </w:tcPr>
          <w:p w:rsidR="00593B2F" w:rsidRDefault="00593B2F" w:rsidP="0030397C">
            <w:pPr>
              <w:widowControl/>
              <w:spacing w:after="0"/>
              <w:jc w:val="center"/>
              <w:rPr>
                <w:sz w:val="20"/>
              </w:rPr>
            </w:pPr>
            <w:r>
              <w:rPr>
                <w:sz w:val="20"/>
              </w:rPr>
              <w:t>N/A</w:t>
            </w:r>
          </w:p>
        </w:tc>
        <w:tc>
          <w:tcPr>
            <w:tcW w:w="1006" w:type="dxa"/>
            <w:shd w:val="clear" w:color="auto" w:fill="C6D9F1" w:themeFill="text2" w:themeFillTint="33"/>
          </w:tcPr>
          <w:p w:rsidR="00593B2F" w:rsidRDefault="00593B2F" w:rsidP="0030397C">
            <w:pPr>
              <w:widowControl/>
              <w:spacing w:after="0"/>
              <w:jc w:val="center"/>
              <w:rPr>
                <w:sz w:val="20"/>
              </w:rPr>
            </w:pPr>
            <w:r>
              <w:rPr>
                <w:sz w:val="20"/>
              </w:rPr>
              <w:t>N/A</w:t>
            </w:r>
          </w:p>
        </w:tc>
      </w:tr>
      <w:tr w:rsidR="00593B2F" w:rsidRPr="00FF7657" w:rsidTr="001E1A8F">
        <w:trPr>
          <w:jc w:val="center"/>
        </w:trPr>
        <w:tc>
          <w:tcPr>
            <w:tcW w:w="2528" w:type="dxa"/>
            <w:shd w:val="clear" w:color="auto" w:fill="FFFFFF" w:themeFill="background1"/>
            <w:tcMar>
              <w:top w:w="58" w:type="dxa"/>
              <w:left w:w="115" w:type="dxa"/>
              <w:bottom w:w="58" w:type="dxa"/>
              <w:right w:w="115" w:type="dxa"/>
            </w:tcMar>
          </w:tcPr>
          <w:p w:rsidR="00593B2F" w:rsidRPr="00FF7657" w:rsidRDefault="00593B2F" w:rsidP="00406F23">
            <w:pPr>
              <w:keepNext/>
              <w:keepLines/>
              <w:widowControl/>
              <w:spacing w:after="0"/>
              <w:jc w:val="left"/>
              <w:rPr>
                <w:sz w:val="20"/>
              </w:rPr>
            </w:pPr>
            <w:r w:rsidRPr="00FF7657">
              <w:rPr>
                <w:sz w:val="20"/>
              </w:rPr>
              <w:t>Peter E. MacKenna</w:t>
            </w:r>
            <w:r>
              <w:rPr>
                <w:sz w:val="20"/>
              </w:rPr>
              <w:t xml:space="preserve"> </w:t>
            </w:r>
            <w:r w:rsidRPr="00A64642">
              <w:rPr>
                <w:sz w:val="20"/>
                <w:vertAlign w:val="superscript"/>
              </w:rPr>
              <w:t>(</w:t>
            </w:r>
            <w:r w:rsidR="00406F23">
              <w:rPr>
                <w:sz w:val="20"/>
                <w:vertAlign w:val="superscript"/>
              </w:rPr>
              <w:t>3</w:t>
            </w:r>
            <w:r w:rsidRPr="00A64642">
              <w:rPr>
                <w:sz w:val="20"/>
                <w:vertAlign w:val="superscript"/>
              </w:rPr>
              <w:t>)</w:t>
            </w:r>
          </w:p>
        </w:tc>
        <w:tc>
          <w:tcPr>
            <w:tcW w:w="980" w:type="dxa"/>
            <w:shd w:val="clear" w:color="auto" w:fill="FFFFFF" w:themeFill="background1"/>
            <w:tcMar>
              <w:top w:w="58" w:type="dxa"/>
              <w:left w:w="115" w:type="dxa"/>
              <w:bottom w:w="58" w:type="dxa"/>
              <w:right w:w="115" w:type="dxa"/>
            </w:tcMar>
          </w:tcPr>
          <w:p w:rsidR="00593B2F" w:rsidRPr="00FF7657" w:rsidRDefault="00593B2F" w:rsidP="00A93138">
            <w:pPr>
              <w:widowControl/>
              <w:spacing w:after="0"/>
              <w:jc w:val="center"/>
              <w:rPr>
                <w:sz w:val="20"/>
              </w:rPr>
            </w:pPr>
            <w:r>
              <w:rPr>
                <w:sz w:val="20"/>
              </w:rPr>
              <w:t>$600,000</w:t>
            </w:r>
          </w:p>
        </w:tc>
        <w:tc>
          <w:tcPr>
            <w:tcW w:w="1398" w:type="dxa"/>
            <w:shd w:val="clear" w:color="auto" w:fill="FFFFFF" w:themeFill="background1"/>
          </w:tcPr>
          <w:p w:rsidR="00593B2F" w:rsidRPr="00FF7657" w:rsidRDefault="00593B2F" w:rsidP="00A93138">
            <w:pPr>
              <w:widowControl/>
              <w:spacing w:after="0"/>
              <w:jc w:val="center"/>
              <w:rPr>
                <w:sz w:val="20"/>
              </w:rPr>
            </w:pPr>
            <w:r w:rsidRPr="00FF7657">
              <w:rPr>
                <w:sz w:val="20"/>
              </w:rPr>
              <w:t>120</w:t>
            </w:r>
            <w:r>
              <w:rPr>
                <w:sz w:val="20"/>
              </w:rPr>
              <w:t>%</w:t>
            </w:r>
          </w:p>
        </w:tc>
        <w:tc>
          <w:tcPr>
            <w:tcW w:w="1052" w:type="dxa"/>
            <w:shd w:val="clear" w:color="auto" w:fill="FFFFFF" w:themeFill="background1"/>
          </w:tcPr>
          <w:p w:rsidR="00593B2F" w:rsidRDefault="00593B2F" w:rsidP="00A93138">
            <w:pPr>
              <w:widowControl/>
              <w:spacing w:after="0"/>
              <w:jc w:val="center"/>
              <w:rPr>
                <w:sz w:val="20"/>
              </w:rPr>
            </w:pPr>
            <w:r>
              <w:rPr>
                <w:sz w:val="20"/>
              </w:rPr>
              <w:t>50%</w:t>
            </w:r>
          </w:p>
        </w:tc>
        <w:tc>
          <w:tcPr>
            <w:tcW w:w="1216" w:type="dxa"/>
            <w:shd w:val="clear" w:color="auto" w:fill="FFFFFF" w:themeFill="background1"/>
          </w:tcPr>
          <w:p w:rsidR="00593B2F" w:rsidRDefault="00593B2F" w:rsidP="00A93138">
            <w:pPr>
              <w:widowControl/>
              <w:spacing w:after="0"/>
              <w:jc w:val="center"/>
              <w:rPr>
                <w:sz w:val="20"/>
              </w:rPr>
            </w:pPr>
            <w:r>
              <w:rPr>
                <w:sz w:val="20"/>
              </w:rPr>
              <w:t>50%</w:t>
            </w:r>
          </w:p>
        </w:tc>
        <w:tc>
          <w:tcPr>
            <w:tcW w:w="811" w:type="dxa"/>
            <w:shd w:val="clear" w:color="auto" w:fill="FFFFFF" w:themeFill="background1"/>
          </w:tcPr>
          <w:p w:rsidR="00593B2F" w:rsidRPr="00FF7657" w:rsidRDefault="00593B2F" w:rsidP="00A93138">
            <w:pPr>
              <w:widowControl/>
              <w:spacing w:after="0"/>
              <w:jc w:val="center"/>
              <w:rPr>
                <w:sz w:val="20"/>
              </w:rPr>
            </w:pPr>
            <w:r>
              <w:rPr>
                <w:sz w:val="20"/>
              </w:rPr>
              <w:t>70%</w:t>
            </w:r>
          </w:p>
        </w:tc>
        <w:tc>
          <w:tcPr>
            <w:tcW w:w="1006" w:type="dxa"/>
            <w:shd w:val="clear" w:color="auto" w:fill="FFFFFF" w:themeFill="background1"/>
          </w:tcPr>
          <w:p w:rsidR="00593B2F" w:rsidRPr="00FF7657" w:rsidRDefault="00593B2F" w:rsidP="00A93138">
            <w:pPr>
              <w:widowControl/>
              <w:spacing w:after="0"/>
              <w:jc w:val="center"/>
              <w:rPr>
                <w:sz w:val="20"/>
              </w:rPr>
            </w:pPr>
            <w:r>
              <w:rPr>
                <w:sz w:val="20"/>
              </w:rPr>
              <w:t>30%</w:t>
            </w:r>
          </w:p>
        </w:tc>
      </w:tr>
      <w:tr w:rsidR="00593B2F" w:rsidRPr="00FF7657" w:rsidTr="001E1A8F">
        <w:trPr>
          <w:jc w:val="center"/>
        </w:trPr>
        <w:tc>
          <w:tcPr>
            <w:tcW w:w="2528" w:type="dxa"/>
            <w:tcBorders>
              <w:bottom w:val="single" w:sz="4" w:space="0" w:color="auto"/>
            </w:tcBorders>
            <w:shd w:val="clear" w:color="auto" w:fill="C6D9F1" w:themeFill="text2" w:themeFillTint="33"/>
            <w:tcMar>
              <w:top w:w="58" w:type="dxa"/>
              <w:left w:w="115" w:type="dxa"/>
              <w:bottom w:w="58" w:type="dxa"/>
              <w:right w:w="115" w:type="dxa"/>
            </w:tcMar>
          </w:tcPr>
          <w:p w:rsidR="00593B2F" w:rsidRPr="00FF7657" w:rsidRDefault="00593B2F" w:rsidP="00A93138">
            <w:pPr>
              <w:widowControl/>
              <w:spacing w:after="0"/>
              <w:jc w:val="left"/>
              <w:rPr>
                <w:sz w:val="20"/>
              </w:rPr>
            </w:pPr>
            <w:r w:rsidRPr="00FF7657">
              <w:rPr>
                <w:sz w:val="20"/>
              </w:rPr>
              <w:t>Thomas R. Wright</w:t>
            </w:r>
            <w:r w:rsidR="00133C9E">
              <w:rPr>
                <w:sz w:val="20"/>
              </w:rPr>
              <w:t xml:space="preserve"> </w:t>
            </w:r>
            <w:r w:rsidR="00406F23">
              <w:rPr>
                <w:sz w:val="20"/>
                <w:vertAlign w:val="superscript"/>
              </w:rPr>
              <w:t>(3</w:t>
            </w:r>
            <w:r w:rsidR="00133C9E" w:rsidRPr="00A64642">
              <w:rPr>
                <w:sz w:val="20"/>
                <w:vertAlign w:val="superscript"/>
              </w:rPr>
              <w:t>)</w:t>
            </w:r>
          </w:p>
        </w:tc>
        <w:tc>
          <w:tcPr>
            <w:tcW w:w="980" w:type="dxa"/>
            <w:tcBorders>
              <w:bottom w:val="single" w:sz="4" w:space="0" w:color="auto"/>
            </w:tcBorders>
            <w:shd w:val="clear" w:color="auto" w:fill="C6D9F1" w:themeFill="text2" w:themeFillTint="33"/>
            <w:tcMar>
              <w:top w:w="58" w:type="dxa"/>
              <w:left w:w="115" w:type="dxa"/>
              <w:bottom w:w="58" w:type="dxa"/>
              <w:right w:w="115" w:type="dxa"/>
            </w:tcMar>
          </w:tcPr>
          <w:p w:rsidR="00593B2F" w:rsidRPr="00FF7657" w:rsidRDefault="00593B2F" w:rsidP="00DD75F9">
            <w:pPr>
              <w:widowControl/>
              <w:spacing w:after="0"/>
              <w:jc w:val="center"/>
              <w:rPr>
                <w:sz w:val="20"/>
              </w:rPr>
            </w:pPr>
            <w:r>
              <w:rPr>
                <w:sz w:val="20"/>
              </w:rPr>
              <w:t>$3</w:t>
            </w:r>
            <w:r w:rsidR="00DD75F9">
              <w:rPr>
                <w:sz w:val="20"/>
              </w:rPr>
              <w:t>7</w:t>
            </w:r>
            <w:r>
              <w:rPr>
                <w:sz w:val="20"/>
              </w:rPr>
              <w:t>5,000</w:t>
            </w:r>
          </w:p>
        </w:tc>
        <w:tc>
          <w:tcPr>
            <w:tcW w:w="1398" w:type="dxa"/>
            <w:tcBorders>
              <w:bottom w:val="single" w:sz="4" w:space="0" w:color="auto"/>
            </w:tcBorders>
            <w:shd w:val="clear" w:color="auto" w:fill="C6D9F1" w:themeFill="text2" w:themeFillTint="33"/>
          </w:tcPr>
          <w:p w:rsidR="00593B2F" w:rsidRPr="00FF7657" w:rsidRDefault="00593B2F" w:rsidP="00A93138">
            <w:pPr>
              <w:widowControl/>
              <w:spacing w:after="0"/>
              <w:jc w:val="center"/>
              <w:rPr>
                <w:sz w:val="20"/>
              </w:rPr>
            </w:pPr>
            <w:r>
              <w:rPr>
                <w:sz w:val="20"/>
              </w:rPr>
              <w:t>120%</w:t>
            </w:r>
          </w:p>
        </w:tc>
        <w:tc>
          <w:tcPr>
            <w:tcW w:w="1052" w:type="dxa"/>
            <w:tcBorders>
              <w:bottom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50%</w:t>
            </w:r>
          </w:p>
        </w:tc>
        <w:tc>
          <w:tcPr>
            <w:tcW w:w="1216" w:type="dxa"/>
            <w:tcBorders>
              <w:bottom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50%</w:t>
            </w:r>
          </w:p>
        </w:tc>
        <w:tc>
          <w:tcPr>
            <w:tcW w:w="811" w:type="dxa"/>
            <w:tcBorders>
              <w:bottom w:val="single" w:sz="4" w:space="0" w:color="auto"/>
            </w:tcBorders>
            <w:shd w:val="clear" w:color="auto" w:fill="C6D9F1" w:themeFill="text2" w:themeFillTint="33"/>
          </w:tcPr>
          <w:p w:rsidR="00593B2F" w:rsidRDefault="00593B2F" w:rsidP="002C2104">
            <w:pPr>
              <w:widowControl/>
              <w:spacing w:after="0"/>
              <w:jc w:val="center"/>
              <w:rPr>
                <w:sz w:val="20"/>
              </w:rPr>
            </w:pPr>
            <w:r>
              <w:rPr>
                <w:sz w:val="20"/>
              </w:rPr>
              <w:t>50%</w:t>
            </w:r>
          </w:p>
        </w:tc>
        <w:tc>
          <w:tcPr>
            <w:tcW w:w="1006" w:type="dxa"/>
            <w:tcBorders>
              <w:bottom w:val="single" w:sz="4" w:space="0" w:color="auto"/>
            </w:tcBorders>
            <w:shd w:val="clear" w:color="auto" w:fill="C6D9F1" w:themeFill="text2" w:themeFillTint="33"/>
          </w:tcPr>
          <w:p w:rsidR="00593B2F" w:rsidRDefault="00593B2F" w:rsidP="00A93138">
            <w:pPr>
              <w:widowControl/>
              <w:spacing w:after="0"/>
              <w:jc w:val="center"/>
              <w:rPr>
                <w:sz w:val="20"/>
              </w:rPr>
            </w:pPr>
            <w:r>
              <w:rPr>
                <w:sz w:val="20"/>
              </w:rPr>
              <w:t>50%</w:t>
            </w:r>
            <w:r>
              <w:rPr>
                <w:sz w:val="20"/>
                <w:vertAlign w:val="superscript"/>
              </w:rPr>
              <w:t xml:space="preserve"> </w:t>
            </w:r>
          </w:p>
        </w:tc>
      </w:tr>
    </w:tbl>
    <w:p w:rsidR="00133C9E" w:rsidRPr="00406F23" w:rsidRDefault="00643BF3" w:rsidP="00643BF3">
      <w:pPr>
        <w:widowControl/>
        <w:tabs>
          <w:tab w:val="left" w:pos="900"/>
        </w:tabs>
        <w:spacing w:before="100" w:after="40"/>
        <w:ind w:left="892" w:hanging="446"/>
        <w:jc w:val="left"/>
        <w:rPr>
          <w:sz w:val="20"/>
        </w:rPr>
      </w:pPr>
      <w:r>
        <w:rPr>
          <w:sz w:val="20"/>
        </w:rPr>
        <w:t>(1)</w:t>
      </w:r>
      <w:r>
        <w:rPr>
          <w:sz w:val="20"/>
        </w:rPr>
        <w:tab/>
      </w:r>
      <w:r w:rsidR="001E1A8F">
        <w:rPr>
          <w:sz w:val="20"/>
        </w:rPr>
        <w:t xml:space="preserve">Mr. Ballschmiede's </w:t>
      </w:r>
      <w:r w:rsidR="00871B89">
        <w:rPr>
          <w:sz w:val="20"/>
        </w:rPr>
        <w:t xml:space="preserve">numbers </w:t>
      </w:r>
      <w:r w:rsidR="00D52B50">
        <w:rPr>
          <w:sz w:val="20"/>
        </w:rPr>
        <w:t xml:space="preserve">are based on </w:t>
      </w:r>
      <w:r w:rsidR="001E1A8F">
        <w:rPr>
          <w:sz w:val="20"/>
        </w:rPr>
        <w:t xml:space="preserve">the 2016 </w:t>
      </w:r>
      <w:r w:rsidR="00133C9E" w:rsidRPr="00406F23">
        <w:rPr>
          <w:sz w:val="20"/>
        </w:rPr>
        <w:t xml:space="preserve">incentive </w:t>
      </w:r>
      <w:r w:rsidR="00C033C5" w:rsidRPr="00406F23">
        <w:rPr>
          <w:sz w:val="20"/>
        </w:rPr>
        <w:t xml:space="preserve">compensation </w:t>
      </w:r>
      <w:r w:rsidR="00133C9E" w:rsidRPr="00406F23">
        <w:rPr>
          <w:sz w:val="20"/>
        </w:rPr>
        <w:t>plan.</w:t>
      </w:r>
      <w:r w:rsidR="00871B89">
        <w:rPr>
          <w:sz w:val="20"/>
        </w:rPr>
        <w:t xml:space="preserve">  </w:t>
      </w:r>
    </w:p>
    <w:p w:rsidR="00406F23" w:rsidRPr="00406F23" w:rsidRDefault="00643BF3" w:rsidP="00643BF3">
      <w:pPr>
        <w:widowControl/>
        <w:tabs>
          <w:tab w:val="left" w:pos="900"/>
        </w:tabs>
        <w:spacing w:after="40"/>
        <w:ind w:left="892" w:hanging="446"/>
        <w:jc w:val="left"/>
        <w:rPr>
          <w:sz w:val="20"/>
        </w:rPr>
      </w:pPr>
      <w:r>
        <w:rPr>
          <w:sz w:val="20"/>
        </w:rPr>
        <w:t>(2)</w:t>
      </w:r>
      <w:r>
        <w:rPr>
          <w:sz w:val="20"/>
        </w:rPr>
        <w:tab/>
      </w:r>
      <w:r w:rsidR="00CF535D">
        <w:rPr>
          <w:sz w:val="20"/>
        </w:rPr>
        <w:t xml:space="preserve">The Compensation Committee has determined that </w:t>
      </w:r>
      <w:r w:rsidR="00406F23" w:rsidRPr="00406F23">
        <w:rPr>
          <w:sz w:val="20"/>
        </w:rPr>
        <w:t>Mr. Barzun</w:t>
      </w:r>
      <w:r w:rsidR="00406F23">
        <w:rPr>
          <w:sz w:val="20"/>
        </w:rPr>
        <w:t>'s</w:t>
      </w:r>
      <w:r w:rsidR="00406F23" w:rsidRPr="00406F23">
        <w:rPr>
          <w:sz w:val="20"/>
        </w:rPr>
        <w:t xml:space="preserve"> </w:t>
      </w:r>
      <w:r w:rsidR="00406F23">
        <w:rPr>
          <w:sz w:val="20"/>
        </w:rPr>
        <w:t xml:space="preserve">salary amounts to an </w:t>
      </w:r>
      <w:r w:rsidR="00406F23" w:rsidRPr="00406F23">
        <w:rPr>
          <w:sz w:val="20"/>
        </w:rPr>
        <w:t>annual retainer for the performance of routine matters</w:t>
      </w:r>
      <w:r w:rsidR="00256392">
        <w:rPr>
          <w:sz w:val="20"/>
        </w:rPr>
        <w:t xml:space="preserve"> of $100,000</w:t>
      </w:r>
      <w:r w:rsidR="00406F23">
        <w:rPr>
          <w:sz w:val="20"/>
        </w:rPr>
        <w:t>.  A</w:t>
      </w:r>
      <w:r w:rsidR="00406F23" w:rsidRPr="00406F23">
        <w:rPr>
          <w:sz w:val="20"/>
        </w:rPr>
        <w:t>fter the end of the year</w:t>
      </w:r>
      <w:r w:rsidR="00406F23">
        <w:rPr>
          <w:sz w:val="20"/>
        </w:rPr>
        <w:t xml:space="preserve">, </w:t>
      </w:r>
      <w:r w:rsidR="00CF535D">
        <w:rPr>
          <w:sz w:val="20"/>
        </w:rPr>
        <w:t xml:space="preserve">his </w:t>
      </w:r>
      <w:r w:rsidR="00406F23">
        <w:rPr>
          <w:sz w:val="20"/>
        </w:rPr>
        <w:t xml:space="preserve">salary </w:t>
      </w:r>
      <w:r w:rsidR="00406F23" w:rsidRPr="00406F23">
        <w:rPr>
          <w:sz w:val="20"/>
        </w:rPr>
        <w:t xml:space="preserve">is subject to increase by an amount that the Compensation Committee believes reflects appropriate compensation for the non-routine matters on which he worked during the year. </w:t>
      </w:r>
    </w:p>
    <w:p w:rsidR="00967AE7" w:rsidRPr="00931DE3" w:rsidRDefault="00643BF3" w:rsidP="00643BF3">
      <w:pPr>
        <w:widowControl/>
        <w:tabs>
          <w:tab w:val="left" w:pos="900"/>
        </w:tabs>
        <w:spacing w:after="0"/>
        <w:ind w:left="892" w:hanging="446"/>
        <w:jc w:val="left"/>
        <w:rPr>
          <w:sz w:val="20"/>
        </w:rPr>
      </w:pPr>
      <w:r>
        <w:rPr>
          <w:sz w:val="20"/>
        </w:rPr>
        <w:t>(3</w:t>
      </w:r>
      <w:r w:rsidR="00133C9E">
        <w:rPr>
          <w:sz w:val="20"/>
        </w:rPr>
        <w:t>)</w:t>
      </w:r>
      <w:r w:rsidR="00133C9E">
        <w:rPr>
          <w:sz w:val="20"/>
        </w:rPr>
        <w:tab/>
        <w:t>For Mr. MacKenna</w:t>
      </w:r>
      <w:r w:rsidR="00F9418A">
        <w:rPr>
          <w:sz w:val="20"/>
        </w:rPr>
        <w:t>,</w:t>
      </w:r>
      <w:r w:rsidR="00133C9E">
        <w:rPr>
          <w:sz w:val="20"/>
        </w:rPr>
        <w:t xml:space="preserve"> these percentages were established in his employment agreement.  </w:t>
      </w:r>
      <w:r w:rsidR="00C32138">
        <w:rPr>
          <w:sz w:val="20"/>
        </w:rPr>
        <w:t>For Mr. Wright</w:t>
      </w:r>
      <w:r w:rsidR="003C2A28">
        <w:rPr>
          <w:sz w:val="20"/>
        </w:rPr>
        <w:t xml:space="preserve"> </w:t>
      </w:r>
      <w:r w:rsidR="00133C9E">
        <w:rPr>
          <w:sz w:val="20"/>
        </w:rPr>
        <w:t xml:space="preserve">they </w:t>
      </w:r>
      <w:r w:rsidR="00A64642">
        <w:rPr>
          <w:sz w:val="20"/>
        </w:rPr>
        <w:t>were</w:t>
      </w:r>
      <w:r w:rsidR="00967AE7">
        <w:rPr>
          <w:sz w:val="20"/>
        </w:rPr>
        <w:t xml:space="preserve"> </w:t>
      </w:r>
      <w:r w:rsidR="00354DC1">
        <w:rPr>
          <w:sz w:val="20"/>
        </w:rPr>
        <w:t xml:space="preserve">established </w:t>
      </w:r>
      <w:r w:rsidR="00967AE7">
        <w:rPr>
          <w:sz w:val="20"/>
        </w:rPr>
        <w:t>in the Company's 201</w:t>
      </w:r>
      <w:r w:rsidR="003211D5">
        <w:rPr>
          <w:sz w:val="20"/>
        </w:rPr>
        <w:t>5</w:t>
      </w:r>
      <w:r w:rsidR="00967AE7">
        <w:rPr>
          <w:sz w:val="20"/>
        </w:rPr>
        <w:t xml:space="preserve"> Incentive Compensation Plan</w:t>
      </w:r>
      <w:r w:rsidR="00C32138">
        <w:rPr>
          <w:sz w:val="20"/>
        </w:rPr>
        <w:t xml:space="preserve"> in which </w:t>
      </w:r>
      <w:r w:rsidR="003211D5">
        <w:rPr>
          <w:sz w:val="20"/>
        </w:rPr>
        <w:t xml:space="preserve">he </w:t>
      </w:r>
      <w:r w:rsidR="00C32138">
        <w:rPr>
          <w:sz w:val="20"/>
        </w:rPr>
        <w:t>participated</w:t>
      </w:r>
      <w:r w:rsidR="00967AE7">
        <w:rPr>
          <w:sz w:val="20"/>
        </w:rPr>
        <w:t>.</w:t>
      </w:r>
      <w:r w:rsidR="002C2104">
        <w:rPr>
          <w:sz w:val="20"/>
        </w:rPr>
        <w:t xml:space="preserve">  </w:t>
      </w:r>
    </w:p>
    <w:p w:rsidR="00A64642" w:rsidRDefault="00133C9E" w:rsidP="00A64642">
      <w:pPr>
        <w:widowControl/>
        <w:tabs>
          <w:tab w:val="left" w:pos="900"/>
        </w:tabs>
        <w:spacing w:after="40"/>
        <w:ind w:left="892" w:hanging="446"/>
        <w:jc w:val="left"/>
        <w:rPr>
          <w:sz w:val="20"/>
        </w:rPr>
      </w:pPr>
      <w:r>
        <w:rPr>
          <w:sz w:val="20"/>
        </w:rPr>
        <w:lastRenderedPageBreak/>
        <w:tab/>
      </w:r>
      <w:r w:rsidR="00A64642">
        <w:rPr>
          <w:sz w:val="20"/>
        </w:rPr>
        <w:t xml:space="preserve">Messrs. MacKenna and </w:t>
      </w:r>
      <w:r w:rsidR="003211D5">
        <w:rPr>
          <w:sz w:val="20"/>
        </w:rPr>
        <w:t xml:space="preserve">Wright </w:t>
      </w:r>
      <w:r w:rsidR="00A64642">
        <w:rPr>
          <w:sz w:val="20"/>
        </w:rPr>
        <w:t xml:space="preserve">left the Company in January </w:t>
      </w:r>
      <w:r w:rsidR="003211D5">
        <w:rPr>
          <w:sz w:val="20"/>
        </w:rPr>
        <w:t xml:space="preserve">and July </w:t>
      </w:r>
      <w:r w:rsidR="00A64642">
        <w:rPr>
          <w:sz w:val="20"/>
        </w:rPr>
        <w:t>2015</w:t>
      </w:r>
      <w:r w:rsidR="003211D5">
        <w:rPr>
          <w:sz w:val="20"/>
        </w:rPr>
        <w:t>, respectively</w:t>
      </w:r>
      <w:r w:rsidR="00A64642">
        <w:rPr>
          <w:sz w:val="20"/>
        </w:rPr>
        <w:t>.</w:t>
      </w:r>
    </w:p>
    <w:p w:rsidR="002F2E6B" w:rsidRDefault="002F2E6B" w:rsidP="00672977">
      <w:pPr>
        <w:widowControl/>
        <w:spacing w:after="60"/>
        <w:jc w:val="left"/>
      </w:pPr>
      <w:r w:rsidRPr="00173C6B">
        <w:rPr>
          <w:b/>
          <w:i/>
        </w:rPr>
        <w:t>Mr. Varello's Employment Agreement</w:t>
      </w:r>
      <w:r w:rsidRPr="002F2E6B">
        <w:t xml:space="preserve">.  Mr. Varello entered into an employment agreement with the Company </w:t>
      </w:r>
      <w:r>
        <w:t xml:space="preserve">in March 2015 when he resigned as Chairman of the Board and ceased to be Chief Executive Officer of the Company on </w:t>
      </w:r>
      <w:r w:rsidR="00F9418A">
        <w:t xml:space="preserve">only </w:t>
      </w:r>
      <w:r>
        <w:t xml:space="preserve">an interim basis.  The agreement expires on the third anniversary of its March 9, 2015 effective date.  It provides for a salary of $1.00 per year and a </w:t>
      </w:r>
      <w:r w:rsidR="00F9418A">
        <w:t xml:space="preserve">single </w:t>
      </w:r>
      <w:r>
        <w:t xml:space="preserve">restricted stock award of 600,000 shares that vests </w:t>
      </w:r>
      <w:r w:rsidR="00F9418A">
        <w:t xml:space="preserve">in equal installments </w:t>
      </w:r>
      <w:r>
        <w:t>over t</w:t>
      </w:r>
      <w:r w:rsidR="00BB6A85">
        <w:t>hree years, but subject to stock</w:t>
      </w:r>
      <w:r>
        <w:t>holder approval, which occurred at the 2015 Annual Meeting of Stockholders.  In</w:t>
      </w:r>
      <w:r w:rsidR="008B6049">
        <w:t xml:space="preserve"> place of participating in the </w:t>
      </w:r>
      <w:r>
        <w:t xml:space="preserve">Company's health plan, the agreement provides for the reimbursement of </w:t>
      </w:r>
      <w:r w:rsidRPr="002F2E6B">
        <w:t xml:space="preserve">his out-of-pocket costs of maintaining </w:t>
      </w:r>
      <w:r w:rsidR="008B6049">
        <w:t xml:space="preserve">the </w:t>
      </w:r>
      <w:r w:rsidRPr="002F2E6B">
        <w:t xml:space="preserve">family health insurance coverage that he </w:t>
      </w:r>
      <w:r>
        <w:t>w</w:t>
      </w:r>
      <w:r w:rsidRPr="002F2E6B">
        <w:t xml:space="preserve">as maintaining prior to </w:t>
      </w:r>
      <w:r>
        <w:t>becoming Chief Executive Officer</w:t>
      </w:r>
      <w:r w:rsidR="00F9418A">
        <w:t>,</w:t>
      </w:r>
      <w:r>
        <w:t xml:space="preserve"> </w:t>
      </w:r>
      <w:r w:rsidRPr="002F2E6B">
        <w:t xml:space="preserve">or any replacement coverage that he may elect to obtain from time to time.  </w:t>
      </w:r>
      <w:r w:rsidR="00F9418A">
        <w:t xml:space="preserve">He is also entitled to the use of a Company-owned vehicle.  </w:t>
      </w:r>
    </w:p>
    <w:p w:rsidR="00E6461E" w:rsidRDefault="00E6461E" w:rsidP="00672977">
      <w:pPr>
        <w:widowControl/>
        <w:spacing w:after="60"/>
        <w:jc w:val="left"/>
      </w:pPr>
      <w:r w:rsidRPr="00173C6B">
        <w:rPr>
          <w:b/>
          <w:i/>
        </w:rPr>
        <w:t>Mr. Ballschmiede</w:t>
      </w:r>
      <w:r>
        <w:t>.  Mr. Ballschmiede does not have an employment agreement</w:t>
      </w:r>
      <w:r w:rsidR="00CF7085">
        <w:t>.  H</w:t>
      </w:r>
      <w:r>
        <w:t xml:space="preserve">e was hired on an at-will basis that </w:t>
      </w:r>
      <w:r w:rsidR="00CF7085">
        <w:t xml:space="preserve">provides that </w:t>
      </w:r>
      <w:r>
        <w:t>his annual salary</w:t>
      </w:r>
      <w:r w:rsidR="00CF7085">
        <w:t xml:space="preserve"> </w:t>
      </w:r>
      <w:r>
        <w:t>is subject to annual reviews by the Chief Executive Officer</w:t>
      </w:r>
      <w:r w:rsidR="002D0D15">
        <w:t>,</w:t>
      </w:r>
      <w:r>
        <w:t xml:space="preserve"> with any increase being subject to the approval of the Compensation Committee. </w:t>
      </w:r>
      <w:r w:rsidR="00A363ED">
        <w:t xml:space="preserve"> </w:t>
      </w:r>
      <w:r w:rsidR="00331702">
        <w:t>In addition, he was awarded 100,000 shares of restricted stock vesting in two annual installments</w:t>
      </w:r>
      <w:r w:rsidR="00CF7085">
        <w:t xml:space="preserve">. </w:t>
      </w:r>
      <w:r w:rsidR="00331702">
        <w:t xml:space="preserve"> </w:t>
      </w:r>
    </w:p>
    <w:p w:rsidR="0079705B" w:rsidRPr="002F2E6B" w:rsidRDefault="0079705B" w:rsidP="00672977">
      <w:pPr>
        <w:widowControl/>
        <w:spacing w:after="60"/>
        <w:jc w:val="left"/>
        <w:rPr>
          <w:b/>
        </w:rPr>
      </w:pPr>
      <w:r w:rsidRPr="00BD75EB">
        <w:rPr>
          <w:b/>
          <w:i/>
        </w:rPr>
        <w:t>Mr. Barzun's Employment Agreement</w:t>
      </w:r>
      <w:r>
        <w:t xml:space="preserve">.  </w:t>
      </w:r>
      <w:r w:rsidRPr="00BD75EB">
        <w:t xml:space="preserve">Mr. Barzun's employment agreement became effective in March 2006 and continues until terminated by the Company or by Mr. Barzun.  His salary is subject to </w:t>
      </w:r>
      <w:r>
        <w:t xml:space="preserve">annual </w:t>
      </w:r>
      <w:r w:rsidRPr="00BD75EB">
        <w:t>merit increases</w:t>
      </w:r>
      <w:r>
        <w:t xml:space="preserve"> and he is eligible to earn </w:t>
      </w:r>
      <w:r w:rsidRPr="00BD75EB">
        <w:t>an annual cash bonus</w:t>
      </w:r>
      <w:r>
        <w:t xml:space="preserve">, both in the discretion of the Compensation Committee, based </w:t>
      </w:r>
      <w:r w:rsidRPr="00CB2081">
        <w:t xml:space="preserve">on the number </w:t>
      </w:r>
      <w:r>
        <w:t xml:space="preserve">and scope </w:t>
      </w:r>
      <w:r w:rsidRPr="00CB2081">
        <w:t xml:space="preserve">of non-routine legal matters to which he devoted substantial time during the year, and </w:t>
      </w:r>
      <w:r>
        <w:t xml:space="preserve">on </w:t>
      </w:r>
      <w:r w:rsidRPr="00CB2081">
        <w:t xml:space="preserve">such other matters as the </w:t>
      </w:r>
      <w:r>
        <w:t xml:space="preserve">Compensation Committee </w:t>
      </w:r>
      <w:r w:rsidRPr="00CB2081">
        <w:t xml:space="preserve">deems relevant. </w:t>
      </w:r>
      <w:r>
        <w:t xml:space="preserve"> </w:t>
      </w:r>
      <w:r w:rsidR="008D66A0">
        <w:t xml:space="preserve">In reviewing Mr. Barzun's employment agreement, the Compensation Committee considers his salary an </w:t>
      </w:r>
      <w:r w:rsidR="008D66A0" w:rsidRPr="008D66A0">
        <w:t xml:space="preserve">annual retainer for the performance of routine matters, which, after the end of the year is subject to increase by an amount that the Committee believes reflects appropriate compensation for the non-routine matters on which he worked during the year. </w:t>
      </w:r>
      <w:r w:rsidR="008D66A0">
        <w:t xml:space="preserve"> </w:t>
      </w:r>
    </w:p>
    <w:p w:rsidR="00EB627E" w:rsidRDefault="003B24D7" w:rsidP="00672977">
      <w:pPr>
        <w:widowControl/>
        <w:spacing w:after="60"/>
        <w:jc w:val="left"/>
      </w:pPr>
      <w:r w:rsidRPr="00367A98">
        <w:rPr>
          <w:b/>
          <w:i/>
        </w:rPr>
        <w:t>Mr. MacKenna's Employment Agreement.</w:t>
      </w:r>
      <w:r>
        <w:t xml:space="preserve">  </w:t>
      </w:r>
      <w:r w:rsidR="00216ECD">
        <w:t xml:space="preserve">In </w:t>
      </w:r>
      <w:r>
        <w:t xml:space="preserve">September 2012, Mr. MacKenna </w:t>
      </w:r>
      <w:r w:rsidR="004139E8">
        <w:t xml:space="preserve">entered into an employment agreement with the Company in connection with his </w:t>
      </w:r>
      <w:r w:rsidR="004F07B6">
        <w:t xml:space="preserve">hiring as </w:t>
      </w:r>
      <w:r w:rsidR="004139E8">
        <w:t>Chief Executive Officer.</w:t>
      </w:r>
      <w:r w:rsidR="00B14908">
        <w:t xml:space="preserve">  The employment agreement had no fixed term, but continued</w:t>
      </w:r>
      <w:r>
        <w:t xml:space="preserve"> in effect until terminated by </w:t>
      </w:r>
      <w:r w:rsidR="00931DE3">
        <w:t xml:space="preserve">either </w:t>
      </w:r>
      <w:r>
        <w:t>the Company or by Mr. MacKenna</w:t>
      </w:r>
      <w:r w:rsidR="00B14908">
        <w:t>, which occurred on January 31, 2015</w:t>
      </w:r>
      <w:r>
        <w:t>.  T</w:t>
      </w:r>
      <w:r w:rsidR="00B14908">
        <w:t>he employment agreement provided</w:t>
      </w:r>
      <w:r>
        <w:t xml:space="preserve"> for a signing bonus of $250,000; relocation expense reimbursement</w:t>
      </w:r>
      <w:r w:rsidR="0070755A">
        <w:t>;</w:t>
      </w:r>
      <w:r w:rsidR="003617FA">
        <w:t xml:space="preserve"> and </w:t>
      </w:r>
      <w:r w:rsidR="003617FA" w:rsidRPr="003617FA">
        <w:t>reimburse</w:t>
      </w:r>
      <w:r w:rsidR="003617FA">
        <w:t>ment for</w:t>
      </w:r>
      <w:r w:rsidR="003617FA" w:rsidRPr="003617FA">
        <w:t xml:space="preserve"> any income taxes </w:t>
      </w:r>
      <w:r w:rsidR="00B14908">
        <w:t xml:space="preserve">paid </w:t>
      </w:r>
      <w:r w:rsidR="003617FA" w:rsidRPr="003617FA">
        <w:t>on the relocation benefits</w:t>
      </w:r>
      <w:r w:rsidR="00EB627E">
        <w:t xml:space="preserve">.  His base salary </w:t>
      </w:r>
      <w:r w:rsidR="00B14908">
        <w:t xml:space="preserve">was </w:t>
      </w:r>
      <w:r w:rsidR="00EB627E">
        <w:t>subject to</w:t>
      </w:r>
      <w:r>
        <w:t xml:space="preserve"> merit and cost of living increases </w:t>
      </w:r>
      <w:r w:rsidR="00EB627E">
        <w:t xml:space="preserve">in </w:t>
      </w:r>
      <w:r>
        <w:t xml:space="preserve">the discretion of the </w:t>
      </w:r>
      <w:r w:rsidR="00436C04">
        <w:t>Compensation Committee</w:t>
      </w:r>
      <w:r>
        <w:t xml:space="preserve"> starting with calendar year 2014</w:t>
      </w:r>
      <w:r w:rsidR="00EB627E">
        <w:t xml:space="preserve">.  </w:t>
      </w:r>
    </w:p>
    <w:p w:rsidR="003B24D7" w:rsidRDefault="00EB627E" w:rsidP="00672977">
      <w:pPr>
        <w:widowControl/>
        <w:spacing w:after="60"/>
        <w:jc w:val="left"/>
      </w:pPr>
      <w:r>
        <w:t>H</w:t>
      </w:r>
      <w:r w:rsidR="00AE7155">
        <w:t>is agre</w:t>
      </w:r>
      <w:r w:rsidR="00B14908">
        <w:t>ement also provided</w:t>
      </w:r>
      <w:r>
        <w:t xml:space="preserve"> for </w:t>
      </w:r>
      <w:r w:rsidR="003B24D7">
        <w:t xml:space="preserve">a restricted stock award </w:t>
      </w:r>
      <w:r>
        <w:t xml:space="preserve">of 100,000 shares </w:t>
      </w:r>
      <w:r w:rsidR="003B24D7">
        <w:t xml:space="preserve">in each of 2012 and 2013.  The 2012 restricted stock award </w:t>
      </w:r>
      <w:r w:rsidR="00B14908">
        <w:t>was to vest</w:t>
      </w:r>
      <w:r w:rsidR="00AE7155">
        <w:t xml:space="preserve"> </w:t>
      </w:r>
      <w:r w:rsidR="003B24D7">
        <w:t>in five equal annual installments</w:t>
      </w:r>
      <w:r w:rsidR="00AE7155">
        <w:t>.  T</w:t>
      </w:r>
      <w:r w:rsidR="00931DE3">
        <w:t xml:space="preserve">he </w:t>
      </w:r>
      <w:r w:rsidR="003B24D7">
        <w:t xml:space="preserve">2013 award </w:t>
      </w:r>
      <w:r w:rsidR="00B14908">
        <w:t>was to vest</w:t>
      </w:r>
      <w:r w:rsidR="00AE7155">
        <w:t xml:space="preserve"> on </w:t>
      </w:r>
      <w:r w:rsidR="003B24D7">
        <w:t>M</w:t>
      </w:r>
      <w:r w:rsidR="00B14908">
        <w:t>arch 31, 2018 if the Company had</w:t>
      </w:r>
      <w:r w:rsidR="003B24D7">
        <w:t xml:space="preserve"> achieved a 5% average return on equity</w:t>
      </w:r>
      <w:r w:rsidR="003B24D7" w:rsidRPr="00077D28">
        <w:rPr>
          <w:szCs w:val="23"/>
        </w:rPr>
        <w:t xml:space="preserve"> </w:t>
      </w:r>
      <w:r w:rsidR="000B66FC" w:rsidRPr="00077D28">
        <w:rPr>
          <w:szCs w:val="23"/>
        </w:rPr>
        <w:t xml:space="preserve">for the five </w:t>
      </w:r>
      <w:r w:rsidR="004F07B6">
        <w:rPr>
          <w:szCs w:val="23"/>
        </w:rPr>
        <w:t xml:space="preserve">fiscal </w:t>
      </w:r>
      <w:r w:rsidR="000B66FC" w:rsidRPr="00077D28">
        <w:rPr>
          <w:szCs w:val="23"/>
        </w:rPr>
        <w:t>years ended December 31, 2017</w:t>
      </w:r>
      <w:r w:rsidR="003B24D7">
        <w:t xml:space="preserve">.  </w:t>
      </w:r>
      <w:r w:rsidR="00B14908">
        <w:t>The vesting of both awards</w:t>
      </w:r>
      <w:r w:rsidR="0070755A">
        <w:t>,</w:t>
      </w:r>
      <w:r w:rsidR="00B14908">
        <w:t xml:space="preserve"> </w:t>
      </w:r>
      <w:r w:rsidR="0070755A">
        <w:t xml:space="preserve">by their terms, was </w:t>
      </w:r>
      <w:r w:rsidR="00B14908">
        <w:t xml:space="preserve">accelerated </w:t>
      </w:r>
      <w:r w:rsidR="0070755A">
        <w:t>when Mr. MacKenna left the Company</w:t>
      </w:r>
      <w:r w:rsidR="00B14908">
        <w:t xml:space="preserve">.  </w:t>
      </w:r>
    </w:p>
    <w:p w:rsidR="003B24D7" w:rsidRDefault="00223DEA" w:rsidP="00672977">
      <w:pPr>
        <w:widowControl/>
        <w:spacing w:after="60"/>
        <w:jc w:val="left"/>
      </w:pPr>
      <w:r>
        <w:t xml:space="preserve">Of his target incentive compensation, 50% </w:t>
      </w:r>
      <w:r w:rsidR="00980240">
        <w:t>was</w:t>
      </w:r>
      <w:r w:rsidR="003B24D7">
        <w:t xml:space="preserve"> based on the Company achieving an earnings-per-share (EPS) goal</w:t>
      </w:r>
      <w:r>
        <w:t xml:space="preserve">, </w:t>
      </w:r>
      <w:r w:rsidR="003B24D7">
        <w:t xml:space="preserve">and </w:t>
      </w:r>
      <w:r>
        <w:t xml:space="preserve">50% </w:t>
      </w:r>
      <w:r w:rsidR="00980240">
        <w:t>was</w:t>
      </w:r>
      <w:r>
        <w:t xml:space="preserve"> based on </w:t>
      </w:r>
      <w:r w:rsidR="00242CF1">
        <w:t xml:space="preserve">his </w:t>
      </w:r>
      <w:r w:rsidR="00931DE3">
        <w:t xml:space="preserve">completing </w:t>
      </w:r>
      <w:r w:rsidR="000203DD">
        <w:t xml:space="preserve">his </w:t>
      </w:r>
      <w:r w:rsidR="00954C7E">
        <w:t>individual performance goals</w:t>
      </w:r>
      <w:r w:rsidR="00242CF1">
        <w:t xml:space="preserve">.  </w:t>
      </w:r>
    </w:p>
    <w:p w:rsidR="003B24D7" w:rsidRDefault="00242CF1" w:rsidP="00E7457B">
      <w:pPr>
        <w:widowControl/>
        <w:jc w:val="left"/>
      </w:pPr>
      <w:r>
        <w:t xml:space="preserve">Under his employment agreement, no </w:t>
      </w:r>
      <w:r w:rsidR="003B24D7">
        <w:t>incentive co</w:t>
      </w:r>
      <w:r w:rsidR="005E0CF4">
        <w:t>mpensation was</w:t>
      </w:r>
      <w:r w:rsidR="00077594">
        <w:t xml:space="preserve"> paid for the EPS g</w:t>
      </w:r>
      <w:r w:rsidR="003B24D7">
        <w:t xml:space="preserve">oal if less than 80% </w:t>
      </w:r>
      <w:r w:rsidR="00F8492B">
        <w:t xml:space="preserve">of the goal </w:t>
      </w:r>
      <w:r w:rsidR="005E0CF4">
        <w:t>were</w:t>
      </w:r>
      <w:r w:rsidR="003B24D7">
        <w:t xml:space="preserve"> achieved</w:t>
      </w:r>
      <w:r w:rsidR="00CE68D8">
        <w:t>,</w:t>
      </w:r>
      <w:r w:rsidR="00D5602C">
        <w:t xml:space="preserve"> and </w:t>
      </w:r>
      <w:r w:rsidR="00CE68D8">
        <w:t xml:space="preserve">the </w:t>
      </w:r>
      <w:r w:rsidR="00D5602C">
        <w:t>maximum pay</w:t>
      </w:r>
      <w:r w:rsidR="005E0CF4">
        <w:t>ment of incentive compensation was</w:t>
      </w:r>
      <w:r w:rsidR="00D5602C">
        <w:t xml:space="preserve"> capped at </w:t>
      </w:r>
      <w:r w:rsidR="003B24D7">
        <w:t xml:space="preserve">a 120% level of achievement.  </w:t>
      </w:r>
      <w:r w:rsidR="00067377">
        <w:t xml:space="preserve">The </w:t>
      </w:r>
      <w:r w:rsidR="00191CD8">
        <w:t>s</w:t>
      </w:r>
      <w:r w:rsidR="00931DE3">
        <w:t xml:space="preserve">hares of </w:t>
      </w:r>
      <w:r w:rsidR="00191CD8">
        <w:t xml:space="preserve">restricted </w:t>
      </w:r>
      <w:r w:rsidR="003B24D7">
        <w:t xml:space="preserve">stock </w:t>
      </w:r>
      <w:r w:rsidR="00067377">
        <w:t xml:space="preserve">payable for 30% of his incentive compensation in 2015 </w:t>
      </w:r>
      <w:r w:rsidR="005E0CF4">
        <w:t xml:space="preserve">were to </w:t>
      </w:r>
      <w:r w:rsidR="00191CD8">
        <w:t xml:space="preserve">vest </w:t>
      </w:r>
      <w:r w:rsidR="004013C8">
        <w:t xml:space="preserve">at the end of a three-year restriction period unless earlier forfeited because of a termination of </w:t>
      </w:r>
      <w:r w:rsidR="00191CD8">
        <w:t xml:space="preserve">his </w:t>
      </w:r>
      <w:r w:rsidR="004013C8">
        <w:t xml:space="preserve">employment </w:t>
      </w:r>
      <w:r w:rsidR="00191CD8">
        <w:t xml:space="preserve">for </w:t>
      </w:r>
      <w:r w:rsidR="004013C8">
        <w:t xml:space="preserve">cause or </w:t>
      </w:r>
      <w:r w:rsidR="005E0CF4">
        <w:t>if he resigned</w:t>
      </w:r>
      <w:r w:rsidR="00191CD8">
        <w:t xml:space="preserve"> his </w:t>
      </w:r>
      <w:r w:rsidR="004013C8">
        <w:t>employment</w:t>
      </w:r>
      <w:r w:rsidR="003B24D7">
        <w:t xml:space="preserve">.  </w:t>
      </w:r>
      <w:r>
        <w:t xml:space="preserve">Vesting </w:t>
      </w:r>
      <w:r w:rsidR="00113235">
        <w:t xml:space="preserve">would be </w:t>
      </w:r>
      <w:r>
        <w:t xml:space="preserve">accelerated if his employment </w:t>
      </w:r>
      <w:r w:rsidR="005E0CF4">
        <w:t xml:space="preserve">were </w:t>
      </w:r>
      <w:r>
        <w:t xml:space="preserve">terminated without cause.  </w:t>
      </w:r>
      <w:r w:rsidR="003B24D7">
        <w:t xml:space="preserve">The number of shares </w:t>
      </w:r>
      <w:r w:rsidR="004013C8">
        <w:t>awarded</w:t>
      </w:r>
      <w:r w:rsidR="00FE65FE">
        <w:t>, if any,</w:t>
      </w:r>
      <w:r w:rsidR="004013C8">
        <w:t xml:space="preserve"> </w:t>
      </w:r>
      <w:r w:rsidR="005E0CF4">
        <w:t xml:space="preserve">was </w:t>
      </w:r>
      <w:r w:rsidR="003B24D7">
        <w:t xml:space="preserve">calculated using the average closing price of the Company's common stock during December of the </w:t>
      </w:r>
      <w:r w:rsidR="006F74E9">
        <w:t xml:space="preserve">prior </w:t>
      </w:r>
      <w:r w:rsidR="003B24D7">
        <w:t xml:space="preserve">year.  </w:t>
      </w:r>
    </w:p>
    <w:p w:rsidR="00565004" w:rsidRDefault="003C2942" w:rsidP="00E7457B">
      <w:pPr>
        <w:widowControl/>
        <w:jc w:val="left"/>
      </w:pPr>
      <w:r w:rsidRPr="00367A98">
        <w:rPr>
          <w:b/>
          <w:i/>
        </w:rPr>
        <w:lastRenderedPageBreak/>
        <w:t>Mr. Wright's Employment Agreement.</w:t>
      </w:r>
      <w:r w:rsidRPr="003C2942">
        <w:t xml:space="preserve">  </w:t>
      </w:r>
      <w:r w:rsidR="00AF19C4">
        <w:t xml:space="preserve">In September 2013, Mr. Wright entered into an employment agreement with the Company in connection with his </w:t>
      </w:r>
      <w:r w:rsidR="004F07B6">
        <w:t xml:space="preserve">hiring </w:t>
      </w:r>
      <w:r w:rsidR="00AF19C4">
        <w:t xml:space="preserve">as Chief Financial Officer.  </w:t>
      </w:r>
      <w:r w:rsidR="00067377">
        <w:t>The employment agreement had</w:t>
      </w:r>
      <w:r w:rsidRPr="003C2942">
        <w:t xml:space="preserve"> a term of one year with automatic annual renewals unless the Company </w:t>
      </w:r>
      <w:r w:rsidR="00067377">
        <w:t xml:space="preserve">gave </w:t>
      </w:r>
      <w:r w:rsidRPr="003C2942">
        <w:t xml:space="preserve">Mr. </w:t>
      </w:r>
      <w:r w:rsidR="0003684B">
        <w:t>Wright</w:t>
      </w:r>
      <w:r w:rsidRPr="003C2942">
        <w:t xml:space="preserve"> </w:t>
      </w:r>
      <w:r w:rsidR="001C0932">
        <w:t xml:space="preserve">notice of non-renewal </w:t>
      </w:r>
      <w:r w:rsidRPr="003C2942">
        <w:t xml:space="preserve">sixty days prior to </w:t>
      </w:r>
      <w:r w:rsidR="00EE673F">
        <w:t>the</w:t>
      </w:r>
      <w:r w:rsidRPr="003C2942">
        <w:t xml:space="preserve"> annual renewal date.  </w:t>
      </w:r>
      <w:r w:rsidR="00067377">
        <w:t>The agreement provided</w:t>
      </w:r>
      <w:r w:rsidR="004A3806">
        <w:t xml:space="preserve"> </w:t>
      </w:r>
      <w:r w:rsidR="00185DDE">
        <w:t xml:space="preserve">for </w:t>
      </w:r>
      <w:r w:rsidR="00BE088B" w:rsidRPr="003C2942">
        <w:t xml:space="preserve">annual reviews </w:t>
      </w:r>
      <w:r w:rsidR="00185DDE">
        <w:t xml:space="preserve">of his base salary </w:t>
      </w:r>
      <w:r w:rsidR="00BE088B" w:rsidRPr="003C2942">
        <w:t>for merit increases</w:t>
      </w:r>
      <w:r w:rsidR="007C12DB">
        <w:t xml:space="preserve">, and for </w:t>
      </w:r>
      <w:r w:rsidRPr="003C2942">
        <w:t xml:space="preserve">a signing bonus of $100,000; a restricted stock award of 10,000 shares </w:t>
      </w:r>
      <w:r w:rsidR="00BE088B">
        <w:t xml:space="preserve">that </w:t>
      </w:r>
      <w:r w:rsidR="00216ECD">
        <w:t>vest</w:t>
      </w:r>
      <w:r w:rsidR="00067377">
        <w:t>ed</w:t>
      </w:r>
      <w:r w:rsidR="00216ECD">
        <w:t xml:space="preserve"> </w:t>
      </w:r>
      <w:r w:rsidRPr="003C2942">
        <w:t xml:space="preserve">in three </w:t>
      </w:r>
      <w:r w:rsidR="00286A61">
        <w:t xml:space="preserve">substantially </w:t>
      </w:r>
      <w:r w:rsidRPr="003C2942">
        <w:t xml:space="preserve">equal annual installments on the first three anniversaries of the award date; </w:t>
      </w:r>
      <w:r w:rsidR="00BE088B">
        <w:t xml:space="preserve">and reimbursement of </w:t>
      </w:r>
      <w:r w:rsidR="00BE088B" w:rsidRPr="003C2942">
        <w:t>relocation expense</w:t>
      </w:r>
      <w:r w:rsidR="00BE088B">
        <w:t>s</w:t>
      </w:r>
      <w:r w:rsidRPr="003C2942">
        <w:t xml:space="preserve">.  </w:t>
      </w:r>
      <w:r w:rsidR="00067377">
        <w:t>The agreement also provided</w:t>
      </w:r>
      <w:r w:rsidR="00E345DA">
        <w:t xml:space="preserve"> that he </w:t>
      </w:r>
      <w:r w:rsidR="00067377">
        <w:t>was</w:t>
      </w:r>
      <w:r w:rsidR="00E345DA">
        <w:t xml:space="preserve"> eligible to participate in the annual incentive </w:t>
      </w:r>
      <w:r w:rsidR="00D8786E">
        <w:t xml:space="preserve">compensation </w:t>
      </w:r>
      <w:r w:rsidR="009D0E1A">
        <w:t>plan</w:t>
      </w:r>
      <w:r w:rsidR="00E345DA">
        <w:t xml:space="preserve"> made available to </w:t>
      </w:r>
      <w:r w:rsidR="00503499">
        <w:t>the Company's senior management team</w:t>
      </w:r>
      <w:r w:rsidR="00FD3DC3">
        <w:t xml:space="preserve">.  </w:t>
      </w:r>
      <w:r w:rsidR="00593B2F">
        <w:t>His agreement was amended in 201</w:t>
      </w:r>
      <w:r w:rsidR="00F95A13">
        <w:t>4</w:t>
      </w:r>
      <w:r w:rsidR="00593B2F">
        <w:t xml:space="preserve"> to </w:t>
      </w:r>
      <w:r w:rsidR="00F95A13">
        <w:t xml:space="preserve">replace a change-in-control provision with </w:t>
      </w:r>
      <w:r w:rsidR="00593B2F">
        <w:t xml:space="preserve">a retention payment of a year's salary in the event </w:t>
      </w:r>
      <w:r w:rsidR="00F95A13">
        <w:t xml:space="preserve">of </w:t>
      </w:r>
      <w:r w:rsidR="00593B2F">
        <w:t>a change in control of the Company.</w:t>
      </w:r>
      <w:r w:rsidR="00067377">
        <w:t xml:space="preserve">  </w:t>
      </w:r>
    </w:p>
    <w:p w:rsidR="006F7C88" w:rsidRDefault="0074471C" w:rsidP="00672977">
      <w:pPr>
        <w:widowControl/>
        <w:spacing w:after="60"/>
        <w:jc w:val="left"/>
      </w:pPr>
      <w:bookmarkStart w:id="101" w:name="_Toc381354151"/>
      <w:bookmarkStart w:id="102" w:name="_Toc445739593"/>
      <w:r w:rsidRPr="002F1088">
        <w:rPr>
          <w:rStyle w:val="002ProxyChar"/>
        </w:rPr>
        <w:t>Potential Payments upon Termination or Change-in-Control</w:t>
      </w:r>
      <w:bookmarkEnd w:id="101"/>
      <w:bookmarkEnd w:id="102"/>
      <w:r w:rsidRPr="0074471C">
        <w:t>.</w:t>
      </w:r>
      <w:r>
        <w:t xml:space="preserve">  </w:t>
      </w:r>
      <w:r w:rsidR="00036E4F" w:rsidRPr="00036E4F">
        <w:t xml:space="preserve">The table below describes the </w:t>
      </w:r>
      <w:r w:rsidR="00CE2146">
        <w:t xml:space="preserve">events </w:t>
      </w:r>
      <w:r w:rsidR="00036E4F" w:rsidRPr="00036E4F">
        <w:t>that would trigger payments or the provision of other benefits to the named executive officers</w:t>
      </w:r>
      <w:r w:rsidR="00036E4F">
        <w:t xml:space="preserve"> in the event of</w:t>
      </w:r>
      <w:r w:rsidR="007F0FAD">
        <w:t xml:space="preserve"> the</w:t>
      </w:r>
      <w:r w:rsidR="00036E4F">
        <w:t xml:space="preserve"> termination of </w:t>
      </w:r>
      <w:r w:rsidR="00AA10EE">
        <w:t xml:space="preserve">their </w:t>
      </w:r>
      <w:r w:rsidR="00036E4F">
        <w:t>employment or a change in control of the Company</w:t>
      </w:r>
      <w:r w:rsidR="00036E4F" w:rsidRPr="00036E4F">
        <w:t xml:space="preserve">.  </w:t>
      </w:r>
      <w:r w:rsidR="00B13670">
        <w:t>The Company would provide a</w:t>
      </w:r>
      <w:r w:rsidR="00036E4F" w:rsidRPr="00036E4F">
        <w:t xml:space="preserve">ll </w:t>
      </w:r>
      <w:r w:rsidR="0046453F">
        <w:t xml:space="preserve">the </w:t>
      </w:r>
      <w:r w:rsidR="00036E4F" w:rsidRPr="00036E4F">
        <w:t xml:space="preserve">payments and </w:t>
      </w:r>
      <w:r w:rsidR="00036E4F">
        <w:t xml:space="preserve">benefits </w:t>
      </w:r>
      <w:r w:rsidR="00B13670">
        <w:t>described</w:t>
      </w:r>
      <w:r w:rsidR="007F0FAD">
        <w:t xml:space="preserve"> below</w:t>
      </w:r>
      <w:r w:rsidR="00036E4F">
        <w:t xml:space="preserve">.  The amounts assume that the termination or change in control occurred on </w:t>
      </w:r>
      <w:r w:rsidR="00DA3696">
        <w:t>December 31, 201</w:t>
      </w:r>
      <w:r w:rsidR="0096293A">
        <w:t>5</w:t>
      </w:r>
      <w:r>
        <w:t xml:space="preserve">.  </w:t>
      </w:r>
    </w:p>
    <w:p w:rsidR="00AA10EE" w:rsidRDefault="00AD683D" w:rsidP="00672977">
      <w:pPr>
        <w:widowControl/>
        <w:spacing w:after="60"/>
        <w:jc w:val="left"/>
      </w:pPr>
      <w:r>
        <w:t>Irrespective of the reason for the termination of employment, t</w:t>
      </w:r>
      <w:r w:rsidR="00ED0C55" w:rsidRPr="00ED0C55">
        <w:t xml:space="preserve">he employment agreements of each of Messrs. </w:t>
      </w:r>
      <w:r w:rsidR="00113235">
        <w:t xml:space="preserve">Varello, </w:t>
      </w:r>
      <w:r w:rsidR="00ED0C55" w:rsidRPr="00ED0C55">
        <w:t>MacKenna</w:t>
      </w:r>
      <w:r w:rsidR="0096293A">
        <w:t xml:space="preserve"> and</w:t>
      </w:r>
      <w:r w:rsidR="00ED0C55" w:rsidRPr="00ED0C55">
        <w:t xml:space="preserve"> Wright prohibit the executive from competing with the Company </w:t>
      </w:r>
      <w:r w:rsidR="00F94631">
        <w:t xml:space="preserve">or </w:t>
      </w:r>
      <w:r w:rsidR="00ED0C55" w:rsidRPr="00ED0C55">
        <w:t>soliciting its employees</w:t>
      </w:r>
      <w:r w:rsidR="00F94631">
        <w:t xml:space="preserve"> while employed by the Company and after his employment terminate</w:t>
      </w:r>
      <w:r w:rsidR="00113235">
        <w:t>s</w:t>
      </w:r>
      <w:r w:rsidR="00ED0C55" w:rsidRPr="00ED0C55">
        <w:t xml:space="preserve">.  For Messrs. </w:t>
      </w:r>
      <w:r w:rsidR="00113235">
        <w:t xml:space="preserve">Varello and </w:t>
      </w:r>
      <w:r w:rsidR="00ED0C55" w:rsidRPr="00ED0C55">
        <w:t>MacKenna</w:t>
      </w:r>
      <w:r w:rsidR="003A7241">
        <w:t>,</w:t>
      </w:r>
      <w:r w:rsidR="00ED0C55" w:rsidRPr="00ED0C55">
        <w:t xml:space="preserve"> the post-employment </w:t>
      </w:r>
      <w:r w:rsidR="007F0FAD">
        <w:t>non-competition</w:t>
      </w:r>
      <w:r w:rsidR="00113235">
        <w:t xml:space="preserve">/non-solicitation </w:t>
      </w:r>
      <w:r w:rsidR="00ED0C55" w:rsidRPr="00ED0C55">
        <w:t xml:space="preserve">period </w:t>
      </w:r>
      <w:r w:rsidR="00113235">
        <w:t xml:space="preserve">is </w:t>
      </w:r>
      <w:r w:rsidR="007F0FAD">
        <w:t>eighteen months</w:t>
      </w:r>
      <w:r w:rsidR="003A7241">
        <w:t>,</w:t>
      </w:r>
      <w:r w:rsidR="007F0FAD">
        <w:t xml:space="preserve"> and </w:t>
      </w:r>
      <w:r w:rsidR="00113235">
        <w:t xml:space="preserve">for Mr. Wright, </w:t>
      </w:r>
      <w:r w:rsidR="007F0FAD">
        <w:t xml:space="preserve">twelve </w:t>
      </w:r>
      <w:r w:rsidR="00ED0C55" w:rsidRPr="00ED0C55">
        <w:t xml:space="preserve">months.  </w:t>
      </w:r>
      <w:r w:rsidR="003A7241">
        <w:t>M</w:t>
      </w:r>
      <w:r w:rsidR="002063F6">
        <w:t>ess</w:t>
      </w:r>
      <w:r w:rsidR="003A7241">
        <w:t>r</w:t>
      </w:r>
      <w:r w:rsidR="002063F6">
        <w:t>s</w:t>
      </w:r>
      <w:r w:rsidR="003A7241">
        <w:t>. Ballschmiede</w:t>
      </w:r>
      <w:r w:rsidR="002063F6">
        <w:t xml:space="preserve">, Barzun and Blair are </w:t>
      </w:r>
      <w:r w:rsidR="003A7241">
        <w:t xml:space="preserve">not subject to </w:t>
      </w:r>
      <w:r w:rsidR="002063F6">
        <w:t xml:space="preserve">those </w:t>
      </w:r>
      <w:r w:rsidR="003A7241">
        <w:t>prohibition</w:t>
      </w:r>
      <w:r w:rsidR="002063F6">
        <w:t>s</w:t>
      </w:r>
      <w:r w:rsidR="003A7241">
        <w:t xml:space="preserve">.  </w:t>
      </w:r>
    </w:p>
    <w:p w:rsidR="00ED0C55" w:rsidRDefault="00F94631" w:rsidP="00C234F6">
      <w:pPr>
        <w:widowControl/>
        <w:jc w:val="left"/>
      </w:pPr>
      <w:r>
        <w:t>M</w:t>
      </w:r>
      <w:r w:rsidR="0010361B">
        <w:t>ess</w:t>
      </w:r>
      <w:r>
        <w:t>r</w:t>
      </w:r>
      <w:r w:rsidR="0010361B">
        <w:t>s</w:t>
      </w:r>
      <w:r>
        <w:t xml:space="preserve">. </w:t>
      </w:r>
      <w:r w:rsidR="006A6152">
        <w:t xml:space="preserve">Varello, </w:t>
      </w:r>
      <w:r w:rsidR="0010361B">
        <w:t>MacKenna</w:t>
      </w:r>
      <w:r w:rsidR="00651B9F">
        <w:t xml:space="preserve"> and</w:t>
      </w:r>
      <w:r w:rsidR="0010361B">
        <w:t xml:space="preserve"> Wright </w:t>
      </w:r>
      <w:r>
        <w:t xml:space="preserve">are prohibited </w:t>
      </w:r>
      <w:r w:rsidR="00CE2146">
        <w:t xml:space="preserve">by their employment agreements </w:t>
      </w:r>
      <w:r>
        <w:t xml:space="preserve">from disclosing the Company's confidential information indefinitely.  </w:t>
      </w:r>
    </w:p>
    <w:tbl>
      <w:tblPr>
        <w:tblStyle w:val="TableGrid"/>
        <w:tblW w:w="999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30"/>
        <w:gridCol w:w="1800"/>
        <w:gridCol w:w="5760"/>
      </w:tblGrid>
      <w:tr w:rsidR="00A77CA4" w:rsidRPr="00973CC5" w:rsidTr="001800EA">
        <w:trPr>
          <w:tblHeader/>
        </w:trPr>
        <w:tc>
          <w:tcPr>
            <w:tcW w:w="2430" w:type="dxa"/>
            <w:tcBorders>
              <w:bottom w:val="single" w:sz="4" w:space="0" w:color="auto"/>
            </w:tcBorders>
            <w:shd w:val="clear" w:color="auto" w:fill="FFFFFF" w:themeFill="background1"/>
            <w:tcMar>
              <w:top w:w="58" w:type="dxa"/>
              <w:left w:w="115" w:type="dxa"/>
              <w:bottom w:w="0" w:type="dxa"/>
              <w:right w:w="115" w:type="dxa"/>
            </w:tcMar>
          </w:tcPr>
          <w:p w:rsidR="00A77CA4" w:rsidRPr="001835AD" w:rsidRDefault="00A77CA4" w:rsidP="00910EAA">
            <w:pPr>
              <w:keepNext/>
              <w:widowControl/>
              <w:spacing w:after="0"/>
              <w:jc w:val="left"/>
              <w:rPr>
                <w:b/>
                <w:sz w:val="20"/>
              </w:rPr>
            </w:pPr>
            <w:r>
              <w:rPr>
                <w:b/>
                <w:sz w:val="20"/>
              </w:rPr>
              <w:t xml:space="preserve">Triggering </w:t>
            </w:r>
            <w:r w:rsidRPr="001835AD">
              <w:rPr>
                <w:b/>
                <w:sz w:val="20"/>
              </w:rPr>
              <w:t>Event</w:t>
            </w:r>
          </w:p>
        </w:tc>
        <w:tc>
          <w:tcPr>
            <w:tcW w:w="1800" w:type="dxa"/>
            <w:tcBorders>
              <w:bottom w:val="single" w:sz="4" w:space="0" w:color="auto"/>
            </w:tcBorders>
            <w:shd w:val="clear" w:color="auto" w:fill="FFFFFF" w:themeFill="background1"/>
          </w:tcPr>
          <w:p w:rsidR="00A77CA4" w:rsidRPr="001835AD" w:rsidRDefault="00A77CA4" w:rsidP="00910EAA">
            <w:pPr>
              <w:keepNext/>
              <w:widowControl/>
              <w:spacing w:after="0"/>
              <w:jc w:val="left"/>
              <w:rPr>
                <w:b/>
                <w:sz w:val="20"/>
              </w:rPr>
            </w:pPr>
            <w:r>
              <w:rPr>
                <w:b/>
                <w:sz w:val="20"/>
              </w:rPr>
              <w:t>Executive</w:t>
            </w:r>
          </w:p>
        </w:tc>
        <w:tc>
          <w:tcPr>
            <w:tcW w:w="5760" w:type="dxa"/>
            <w:tcBorders>
              <w:bottom w:val="single" w:sz="4" w:space="0" w:color="auto"/>
            </w:tcBorders>
            <w:shd w:val="clear" w:color="auto" w:fill="FFFFFF" w:themeFill="background1"/>
            <w:tcMar>
              <w:top w:w="58" w:type="dxa"/>
              <w:left w:w="115" w:type="dxa"/>
              <w:bottom w:w="0" w:type="dxa"/>
              <w:right w:w="115" w:type="dxa"/>
            </w:tcMar>
          </w:tcPr>
          <w:p w:rsidR="00A77CA4" w:rsidRPr="001835AD" w:rsidRDefault="00A77CA4" w:rsidP="00910EAA">
            <w:pPr>
              <w:keepNext/>
              <w:widowControl/>
              <w:spacing w:after="0"/>
              <w:jc w:val="left"/>
              <w:rPr>
                <w:b/>
                <w:sz w:val="20"/>
              </w:rPr>
            </w:pPr>
            <w:r w:rsidRPr="001835AD">
              <w:rPr>
                <w:b/>
                <w:sz w:val="20"/>
              </w:rPr>
              <w:t>Payments &amp; Benefits</w:t>
            </w:r>
          </w:p>
        </w:tc>
      </w:tr>
      <w:tr w:rsidR="00A77CA4" w:rsidRPr="00973CC5" w:rsidTr="009070AF">
        <w:tc>
          <w:tcPr>
            <w:tcW w:w="2430" w:type="dxa"/>
            <w:tcBorders>
              <w:top w:val="single" w:sz="4" w:space="0" w:color="auto"/>
            </w:tcBorders>
            <w:shd w:val="clear" w:color="auto" w:fill="FFFFFF" w:themeFill="background1"/>
            <w:tcMar>
              <w:top w:w="58" w:type="dxa"/>
              <w:left w:w="115" w:type="dxa"/>
              <w:bottom w:w="58" w:type="dxa"/>
              <w:right w:w="115" w:type="dxa"/>
            </w:tcMar>
          </w:tcPr>
          <w:p w:rsidR="00A77CA4" w:rsidRPr="00973CC5" w:rsidRDefault="00A77CA4" w:rsidP="00910EAA">
            <w:pPr>
              <w:keepNext/>
              <w:widowControl/>
              <w:spacing w:after="0"/>
              <w:jc w:val="left"/>
              <w:rPr>
                <w:sz w:val="20"/>
              </w:rPr>
            </w:pPr>
            <w:r>
              <w:rPr>
                <w:sz w:val="20"/>
              </w:rPr>
              <w:t>Termination of the executive</w:t>
            </w:r>
            <w:r w:rsidR="00191FB4">
              <w:rPr>
                <w:sz w:val="20"/>
              </w:rPr>
              <w:t xml:space="preserve">'s employment </w:t>
            </w:r>
            <w:r>
              <w:rPr>
                <w:sz w:val="20"/>
              </w:rPr>
              <w:t xml:space="preserve"> by </w:t>
            </w:r>
            <w:r w:rsidR="003D0C52">
              <w:rPr>
                <w:sz w:val="20"/>
              </w:rPr>
              <w:t>the</w:t>
            </w:r>
            <w:r w:rsidR="00191FB4">
              <w:rPr>
                <w:sz w:val="20"/>
              </w:rPr>
              <w:t xml:space="preserve"> </w:t>
            </w:r>
            <w:r>
              <w:rPr>
                <w:sz w:val="20"/>
              </w:rPr>
              <w:t>Company without cause</w:t>
            </w:r>
            <w:r w:rsidR="007A6BBF">
              <w:rPr>
                <w:sz w:val="20"/>
              </w:rPr>
              <w:t>.</w:t>
            </w:r>
            <w:r w:rsidRPr="00973CC5">
              <w:rPr>
                <w:sz w:val="20"/>
                <w:vertAlign w:val="superscript"/>
              </w:rPr>
              <w:t>(1)</w:t>
            </w:r>
          </w:p>
        </w:tc>
        <w:tc>
          <w:tcPr>
            <w:tcW w:w="1800" w:type="dxa"/>
            <w:tcBorders>
              <w:top w:val="single" w:sz="4" w:space="0" w:color="auto"/>
            </w:tcBorders>
            <w:shd w:val="clear" w:color="auto" w:fill="FFFFFF" w:themeFill="background1"/>
          </w:tcPr>
          <w:p w:rsidR="00A77CA4" w:rsidRDefault="00516AF1" w:rsidP="00910EAA">
            <w:pPr>
              <w:keepNext/>
              <w:widowControl/>
              <w:spacing w:after="0"/>
              <w:jc w:val="left"/>
              <w:rPr>
                <w:i/>
                <w:sz w:val="20"/>
              </w:rPr>
            </w:pPr>
            <w:r>
              <w:rPr>
                <w:i/>
                <w:sz w:val="20"/>
              </w:rPr>
              <w:t xml:space="preserve">Mr. </w:t>
            </w:r>
            <w:r w:rsidR="00A61398">
              <w:rPr>
                <w:i/>
                <w:sz w:val="20"/>
              </w:rPr>
              <w:t>Varello</w:t>
            </w:r>
          </w:p>
          <w:p w:rsidR="00A61398" w:rsidRDefault="00516AF1" w:rsidP="00910EAA">
            <w:pPr>
              <w:keepNext/>
              <w:widowControl/>
              <w:spacing w:after="0"/>
              <w:jc w:val="left"/>
              <w:rPr>
                <w:i/>
                <w:sz w:val="20"/>
              </w:rPr>
            </w:pPr>
            <w:r>
              <w:rPr>
                <w:i/>
                <w:sz w:val="20"/>
              </w:rPr>
              <w:t>Mr</w:t>
            </w:r>
            <w:r w:rsidR="00A61398">
              <w:rPr>
                <w:i/>
                <w:sz w:val="20"/>
              </w:rPr>
              <w:t>. Ballschmiede</w:t>
            </w:r>
          </w:p>
          <w:p w:rsidR="00516AF1" w:rsidRPr="00973CC5" w:rsidRDefault="00516AF1" w:rsidP="00910EAA">
            <w:pPr>
              <w:keepNext/>
              <w:widowControl/>
              <w:spacing w:after="60"/>
              <w:jc w:val="left"/>
              <w:rPr>
                <w:i/>
                <w:sz w:val="20"/>
              </w:rPr>
            </w:pPr>
            <w:r>
              <w:rPr>
                <w:i/>
                <w:sz w:val="20"/>
              </w:rPr>
              <w:t>Mr. Blair</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77CA4" w:rsidRPr="000C348E" w:rsidRDefault="00A61398" w:rsidP="00910EAA">
            <w:pPr>
              <w:keepNext/>
              <w:widowControl/>
              <w:spacing w:after="60"/>
              <w:jc w:val="left"/>
              <w:rPr>
                <w:sz w:val="20"/>
              </w:rPr>
            </w:pPr>
            <w:r>
              <w:rPr>
                <w:sz w:val="20"/>
              </w:rPr>
              <w:t xml:space="preserve">None other than </w:t>
            </w:r>
            <w:r w:rsidR="00516AF1">
              <w:rPr>
                <w:sz w:val="20"/>
              </w:rPr>
              <w:t xml:space="preserve">severance </w:t>
            </w:r>
            <w:r w:rsidR="00516AF1" w:rsidRPr="00516AF1">
              <w:rPr>
                <w:sz w:val="20"/>
              </w:rPr>
              <w:t xml:space="preserve">compensation traditionally paid to other salaried employees.  </w:t>
            </w:r>
          </w:p>
        </w:tc>
      </w:tr>
      <w:tr w:rsidR="00A61398" w:rsidRPr="00973CC5" w:rsidTr="00A57123">
        <w:trPr>
          <w:cantSplit/>
        </w:trPr>
        <w:tc>
          <w:tcPr>
            <w:tcW w:w="2430" w:type="dxa"/>
            <w:shd w:val="clear" w:color="auto" w:fill="FFFFFF" w:themeFill="background1"/>
            <w:tcMar>
              <w:top w:w="58" w:type="dxa"/>
              <w:left w:w="115" w:type="dxa"/>
              <w:bottom w:w="58" w:type="dxa"/>
              <w:right w:w="115" w:type="dxa"/>
            </w:tcMar>
          </w:tcPr>
          <w:p w:rsidR="00A61398" w:rsidRDefault="00A61398" w:rsidP="00910EAA">
            <w:pPr>
              <w:keepNext/>
              <w:widowControl/>
              <w:spacing w:after="0"/>
              <w:jc w:val="left"/>
              <w:rPr>
                <w:sz w:val="20"/>
              </w:rPr>
            </w:pPr>
          </w:p>
        </w:tc>
        <w:tc>
          <w:tcPr>
            <w:tcW w:w="1800" w:type="dxa"/>
            <w:shd w:val="clear" w:color="auto" w:fill="FFFFFF" w:themeFill="background1"/>
          </w:tcPr>
          <w:p w:rsidR="00A61398" w:rsidRPr="00973CC5" w:rsidRDefault="00516AF1" w:rsidP="00910EAA">
            <w:pPr>
              <w:keepNext/>
              <w:widowControl/>
              <w:spacing w:after="60"/>
              <w:jc w:val="left"/>
              <w:rPr>
                <w:i/>
                <w:sz w:val="20"/>
              </w:rPr>
            </w:pPr>
            <w:r>
              <w:rPr>
                <w:i/>
                <w:sz w:val="20"/>
              </w:rPr>
              <w:t>Mr. Barzun</w:t>
            </w:r>
          </w:p>
        </w:tc>
        <w:tc>
          <w:tcPr>
            <w:tcW w:w="5760" w:type="dxa"/>
            <w:shd w:val="clear" w:color="auto" w:fill="FFFFFF" w:themeFill="background1"/>
            <w:tcMar>
              <w:top w:w="58" w:type="dxa"/>
              <w:left w:w="115" w:type="dxa"/>
              <w:bottom w:w="58" w:type="dxa"/>
              <w:right w:w="115" w:type="dxa"/>
            </w:tcMar>
          </w:tcPr>
          <w:p w:rsidR="00A61398" w:rsidRDefault="00516AF1" w:rsidP="00910EAA">
            <w:pPr>
              <w:keepNext/>
              <w:widowControl/>
              <w:spacing w:after="60"/>
              <w:jc w:val="left"/>
              <w:rPr>
                <w:sz w:val="20"/>
              </w:rPr>
            </w:pPr>
            <w:r>
              <w:rPr>
                <w:sz w:val="20"/>
              </w:rPr>
              <w:t>One year's salary</w:t>
            </w:r>
            <w:r w:rsidR="005F51AE">
              <w:rPr>
                <w:sz w:val="20"/>
              </w:rPr>
              <w:t>.</w:t>
            </w:r>
          </w:p>
        </w:tc>
      </w:tr>
      <w:tr w:rsidR="00A61398" w:rsidRPr="00973CC5" w:rsidTr="00A57123">
        <w:trPr>
          <w:cantSplit/>
        </w:trPr>
        <w:tc>
          <w:tcPr>
            <w:tcW w:w="2430" w:type="dxa"/>
            <w:shd w:val="clear" w:color="auto" w:fill="FFFFFF" w:themeFill="background1"/>
            <w:tcMar>
              <w:top w:w="58" w:type="dxa"/>
              <w:left w:w="115" w:type="dxa"/>
              <w:bottom w:w="58" w:type="dxa"/>
              <w:right w:w="115" w:type="dxa"/>
            </w:tcMar>
          </w:tcPr>
          <w:p w:rsidR="00A61398" w:rsidRDefault="00A61398" w:rsidP="00075F08">
            <w:pPr>
              <w:widowControl/>
              <w:spacing w:after="0"/>
              <w:jc w:val="left"/>
              <w:rPr>
                <w:sz w:val="20"/>
              </w:rPr>
            </w:pPr>
          </w:p>
        </w:tc>
        <w:tc>
          <w:tcPr>
            <w:tcW w:w="1800" w:type="dxa"/>
            <w:shd w:val="clear" w:color="auto" w:fill="FFFFFF" w:themeFill="background1"/>
          </w:tcPr>
          <w:p w:rsidR="00A61398" w:rsidRPr="00973CC5" w:rsidRDefault="00A61398" w:rsidP="006C047B">
            <w:pPr>
              <w:widowControl/>
              <w:spacing w:after="60"/>
              <w:jc w:val="left"/>
              <w:rPr>
                <w:i/>
                <w:sz w:val="20"/>
              </w:rPr>
            </w:pPr>
            <w:r w:rsidRPr="00973CC5">
              <w:rPr>
                <w:i/>
                <w:sz w:val="20"/>
              </w:rPr>
              <w:t>Mr. MacKenna</w:t>
            </w:r>
          </w:p>
        </w:tc>
        <w:tc>
          <w:tcPr>
            <w:tcW w:w="5760" w:type="dxa"/>
            <w:shd w:val="clear" w:color="auto" w:fill="FFFFFF" w:themeFill="background1"/>
            <w:tcMar>
              <w:top w:w="58" w:type="dxa"/>
              <w:left w:w="115" w:type="dxa"/>
              <w:bottom w:w="58" w:type="dxa"/>
              <w:right w:w="115" w:type="dxa"/>
            </w:tcMar>
          </w:tcPr>
          <w:p w:rsidR="00A61398" w:rsidRDefault="00A61398" w:rsidP="006C047B">
            <w:pPr>
              <w:widowControl/>
              <w:spacing w:after="60"/>
              <w:jc w:val="left"/>
              <w:rPr>
                <w:sz w:val="20"/>
              </w:rPr>
            </w:pPr>
            <w:r>
              <w:rPr>
                <w:sz w:val="20"/>
              </w:rPr>
              <w:t xml:space="preserve">Payment </w:t>
            </w:r>
            <w:r w:rsidRPr="00973CC5">
              <w:rPr>
                <w:sz w:val="20"/>
              </w:rPr>
              <w:t xml:space="preserve">in a lump sum </w:t>
            </w:r>
            <w:r>
              <w:rPr>
                <w:sz w:val="20"/>
              </w:rPr>
              <w:t xml:space="preserve">of an amount equal to </w:t>
            </w:r>
            <w:r w:rsidRPr="00973CC5">
              <w:rPr>
                <w:sz w:val="20"/>
              </w:rPr>
              <w:t>eighteen months</w:t>
            </w:r>
            <w:r>
              <w:rPr>
                <w:sz w:val="20"/>
              </w:rPr>
              <w:t>'</w:t>
            </w:r>
            <w:r w:rsidRPr="00973CC5">
              <w:rPr>
                <w:sz w:val="20"/>
              </w:rPr>
              <w:t xml:space="preserve"> salary</w:t>
            </w:r>
            <w:r>
              <w:rPr>
                <w:sz w:val="20"/>
              </w:rPr>
              <w:t xml:space="preserve"> which, at December 31, 201</w:t>
            </w:r>
            <w:r w:rsidR="00516AF1">
              <w:rPr>
                <w:sz w:val="20"/>
              </w:rPr>
              <w:t>5</w:t>
            </w:r>
            <w:r>
              <w:rPr>
                <w:sz w:val="20"/>
              </w:rPr>
              <w:t>, would have been</w:t>
            </w:r>
            <w:r w:rsidR="005F51AE">
              <w:rPr>
                <w:sz w:val="20"/>
              </w:rPr>
              <w:t xml:space="preserve"> </w:t>
            </w:r>
            <w:r>
              <w:rPr>
                <w:sz w:val="20"/>
              </w:rPr>
              <w:t>$900,000</w:t>
            </w:r>
            <w:r w:rsidR="005F51AE">
              <w:rPr>
                <w:sz w:val="20"/>
              </w:rPr>
              <w:t xml:space="preserve"> had he been an employee of the Company at the time</w:t>
            </w:r>
            <w:r>
              <w:rPr>
                <w:sz w:val="20"/>
              </w:rPr>
              <w:t>.</w:t>
            </w:r>
          </w:p>
          <w:p w:rsidR="00A61398" w:rsidRPr="000C348E" w:rsidRDefault="00A61398" w:rsidP="006C047B">
            <w:pPr>
              <w:widowControl/>
              <w:spacing w:after="60"/>
              <w:jc w:val="left"/>
              <w:rPr>
                <w:sz w:val="20"/>
              </w:rPr>
            </w:pPr>
            <w:r>
              <w:rPr>
                <w:sz w:val="20"/>
              </w:rPr>
              <w:t xml:space="preserve">Reimbursement of </w:t>
            </w:r>
            <w:r w:rsidRPr="00F31D72">
              <w:rPr>
                <w:sz w:val="20"/>
              </w:rPr>
              <w:t xml:space="preserve">COBRA </w:t>
            </w:r>
            <w:r>
              <w:rPr>
                <w:sz w:val="20"/>
              </w:rPr>
              <w:t xml:space="preserve">expenses </w:t>
            </w:r>
            <w:r w:rsidRPr="00F31D72">
              <w:rPr>
                <w:sz w:val="20"/>
              </w:rPr>
              <w:t xml:space="preserve">for an 18-month period at a cost to the Company of approximately </w:t>
            </w:r>
            <w:r>
              <w:rPr>
                <w:sz w:val="20"/>
              </w:rPr>
              <w:t xml:space="preserve">$27,944 with a gross-up of approximately $9,222 in taxes.  </w:t>
            </w:r>
          </w:p>
        </w:tc>
      </w:tr>
      <w:tr w:rsidR="00A61398" w:rsidRPr="00973CC5" w:rsidTr="00A57123">
        <w:trPr>
          <w:cantSplit/>
        </w:trPr>
        <w:tc>
          <w:tcPr>
            <w:tcW w:w="2430" w:type="dxa"/>
            <w:shd w:val="clear" w:color="auto" w:fill="FFFFFF" w:themeFill="background1"/>
            <w:tcMar>
              <w:top w:w="58" w:type="dxa"/>
              <w:left w:w="115" w:type="dxa"/>
              <w:bottom w:w="58" w:type="dxa"/>
              <w:right w:w="115" w:type="dxa"/>
            </w:tcMar>
          </w:tcPr>
          <w:p w:rsidR="00A61398" w:rsidRDefault="00A61398" w:rsidP="00075F08">
            <w:pPr>
              <w:widowControl/>
              <w:spacing w:after="0"/>
              <w:jc w:val="left"/>
              <w:rPr>
                <w:sz w:val="20"/>
              </w:rPr>
            </w:pPr>
          </w:p>
        </w:tc>
        <w:tc>
          <w:tcPr>
            <w:tcW w:w="1800" w:type="dxa"/>
            <w:shd w:val="clear" w:color="auto" w:fill="FFFFFF" w:themeFill="background1"/>
          </w:tcPr>
          <w:p w:rsidR="00A61398" w:rsidRPr="00973CC5" w:rsidRDefault="00A61398" w:rsidP="000C348E">
            <w:pPr>
              <w:widowControl/>
              <w:spacing w:after="60"/>
              <w:jc w:val="left"/>
              <w:rPr>
                <w:i/>
                <w:sz w:val="20"/>
              </w:rPr>
            </w:pPr>
            <w:r w:rsidRPr="00973CC5">
              <w:rPr>
                <w:i/>
                <w:sz w:val="20"/>
              </w:rPr>
              <w:t>Mr. Wright</w:t>
            </w:r>
          </w:p>
        </w:tc>
        <w:tc>
          <w:tcPr>
            <w:tcW w:w="5760" w:type="dxa"/>
            <w:shd w:val="clear" w:color="auto" w:fill="FFFFFF" w:themeFill="background1"/>
            <w:tcMar>
              <w:top w:w="58" w:type="dxa"/>
              <w:left w:w="115" w:type="dxa"/>
              <w:bottom w:w="58" w:type="dxa"/>
              <w:right w:w="115" w:type="dxa"/>
            </w:tcMar>
          </w:tcPr>
          <w:p w:rsidR="00A61398" w:rsidRDefault="00A61398" w:rsidP="000C348E">
            <w:pPr>
              <w:widowControl/>
              <w:spacing w:after="60"/>
              <w:jc w:val="left"/>
              <w:rPr>
                <w:sz w:val="20"/>
              </w:rPr>
            </w:pPr>
            <w:r>
              <w:rPr>
                <w:sz w:val="20"/>
              </w:rPr>
              <w:t xml:space="preserve">Payment </w:t>
            </w:r>
            <w:r w:rsidRPr="00973CC5">
              <w:rPr>
                <w:sz w:val="20"/>
              </w:rPr>
              <w:t xml:space="preserve">in a lump sum </w:t>
            </w:r>
            <w:r>
              <w:rPr>
                <w:sz w:val="20"/>
              </w:rPr>
              <w:t xml:space="preserve">of an amount equal to twelve </w:t>
            </w:r>
            <w:r w:rsidRPr="00973CC5">
              <w:rPr>
                <w:sz w:val="20"/>
              </w:rPr>
              <w:t>months</w:t>
            </w:r>
            <w:r>
              <w:rPr>
                <w:sz w:val="20"/>
              </w:rPr>
              <w:t>'</w:t>
            </w:r>
            <w:r w:rsidRPr="00973CC5">
              <w:rPr>
                <w:sz w:val="20"/>
              </w:rPr>
              <w:t xml:space="preserve"> salary</w:t>
            </w:r>
            <w:r>
              <w:rPr>
                <w:sz w:val="20"/>
              </w:rPr>
              <w:t xml:space="preserve"> which, at December 31, 201</w:t>
            </w:r>
            <w:r w:rsidR="00D21747">
              <w:rPr>
                <w:sz w:val="20"/>
              </w:rPr>
              <w:t>5</w:t>
            </w:r>
            <w:r>
              <w:rPr>
                <w:sz w:val="20"/>
              </w:rPr>
              <w:t>, would have been</w:t>
            </w:r>
            <w:r w:rsidR="00D21747">
              <w:rPr>
                <w:sz w:val="20"/>
              </w:rPr>
              <w:t xml:space="preserve"> </w:t>
            </w:r>
            <w:r>
              <w:rPr>
                <w:sz w:val="20"/>
              </w:rPr>
              <w:t>$3</w:t>
            </w:r>
            <w:r w:rsidR="00DD75F9">
              <w:rPr>
                <w:sz w:val="20"/>
              </w:rPr>
              <w:t>7</w:t>
            </w:r>
            <w:r>
              <w:rPr>
                <w:sz w:val="20"/>
              </w:rPr>
              <w:t>5,000</w:t>
            </w:r>
            <w:r w:rsidR="005F51AE">
              <w:rPr>
                <w:sz w:val="20"/>
              </w:rPr>
              <w:t xml:space="preserve"> had he been an employee of the Company at the time</w:t>
            </w:r>
            <w:r>
              <w:rPr>
                <w:sz w:val="20"/>
              </w:rPr>
              <w:t>.</w:t>
            </w:r>
          </w:p>
          <w:p w:rsidR="00A61398" w:rsidRPr="000C348E" w:rsidRDefault="00A61398" w:rsidP="00480F40">
            <w:pPr>
              <w:widowControl/>
              <w:spacing w:after="60"/>
              <w:jc w:val="left"/>
              <w:rPr>
                <w:sz w:val="20"/>
              </w:rPr>
            </w:pPr>
            <w:r>
              <w:rPr>
                <w:sz w:val="20"/>
              </w:rPr>
              <w:t xml:space="preserve">Reimbursement of </w:t>
            </w:r>
            <w:r w:rsidRPr="00F31D72">
              <w:rPr>
                <w:sz w:val="20"/>
              </w:rPr>
              <w:t xml:space="preserve">COBRA </w:t>
            </w:r>
            <w:r>
              <w:rPr>
                <w:sz w:val="20"/>
              </w:rPr>
              <w:t xml:space="preserve">expenses </w:t>
            </w:r>
            <w:r w:rsidRPr="00F31D72">
              <w:rPr>
                <w:sz w:val="20"/>
              </w:rPr>
              <w:t xml:space="preserve">for a </w:t>
            </w:r>
            <w:r>
              <w:rPr>
                <w:sz w:val="20"/>
              </w:rPr>
              <w:t>12</w:t>
            </w:r>
            <w:r w:rsidRPr="00F31D72">
              <w:rPr>
                <w:sz w:val="20"/>
              </w:rPr>
              <w:t xml:space="preserve">-month period at a cost to the Company of approximately </w:t>
            </w:r>
            <w:r>
              <w:rPr>
                <w:sz w:val="20"/>
              </w:rPr>
              <w:t xml:space="preserve">$16,769 with a gross-up of approximately $5,534 in taxes.  </w:t>
            </w:r>
          </w:p>
        </w:tc>
      </w:tr>
      <w:tr w:rsidR="00A61398" w:rsidRPr="00973CC5" w:rsidTr="001800EA">
        <w:tc>
          <w:tcPr>
            <w:tcW w:w="243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61398" w:rsidRPr="00973CC5" w:rsidRDefault="00A61398" w:rsidP="00075F08">
            <w:pPr>
              <w:widowControl/>
              <w:spacing w:after="0"/>
              <w:jc w:val="left"/>
              <w:rPr>
                <w:sz w:val="20"/>
              </w:rPr>
            </w:pPr>
            <w:r w:rsidRPr="001C3425">
              <w:rPr>
                <w:sz w:val="20"/>
              </w:rPr>
              <w:t>Termination by the Company for cause</w:t>
            </w:r>
            <w:r>
              <w:rPr>
                <w:sz w:val="20"/>
              </w:rPr>
              <w:t>.</w:t>
            </w:r>
            <w:r>
              <w:rPr>
                <w:sz w:val="20"/>
                <w:vertAlign w:val="superscript"/>
              </w:rPr>
              <w:t>(2</w:t>
            </w:r>
            <w:r w:rsidRPr="001C3425">
              <w:rPr>
                <w:sz w:val="20"/>
                <w:vertAlign w:val="superscript"/>
              </w:rPr>
              <w:t>)</w:t>
            </w:r>
          </w:p>
        </w:tc>
        <w:tc>
          <w:tcPr>
            <w:tcW w:w="1800" w:type="dxa"/>
            <w:tcBorders>
              <w:top w:val="single" w:sz="4" w:space="0" w:color="auto"/>
              <w:bottom w:val="single" w:sz="4" w:space="0" w:color="auto"/>
            </w:tcBorders>
            <w:shd w:val="clear" w:color="auto" w:fill="FFFFFF" w:themeFill="background1"/>
          </w:tcPr>
          <w:p w:rsidR="00A61398" w:rsidRPr="005F0985" w:rsidRDefault="00A61398" w:rsidP="007A21B9">
            <w:pPr>
              <w:widowControl/>
              <w:spacing w:after="0"/>
              <w:jc w:val="left"/>
              <w:rPr>
                <w:i/>
                <w:sz w:val="20"/>
              </w:rPr>
            </w:pPr>
            <w:r w:rsidRPr="005F0985">
              <w:rPr>
                <w:i/>
                <w:sz w:val="20"/>
              </w:rPr>
              <w:t>All executives</w:t>
            </w:r>
          </w:p>
        </w:tc>
        <w:tc>
          <w:tcPr>
            <w:tcW w:w="576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61398" w:rsidRPr="00973CC5" w:rsidRDefault="00A61398" w:rsidP="00B3119C">
            <w:pPr>
              <w:widowControl/>
              <w:spacing w:after="0"/>
              <w:jc w:val="left"/>
              <w:rPr>
                <w:sz w:val="20"/>
              </w:rPr>
            </w:pPr>
            <w:r>
              <w:rPr>
                <w:sz w:val="20"/>
              </w:rPr>
              <w:t>No severance compensation is paid, and a</w:t>
            </w:r>
            <w:r w:rsidRPr="001C3425">
              <w:rPr>
                <w:sz w:val="20"/>
              </w:rPr>
              <w:t xml:space="preserve">ll of </w:t>
            </w:r>
            <w:r>
              <w:rPr>
                <w:sz w:val="20"/>
              </w:rPr>
              <w:t xml:space="preserve">the shares under their outstanding restricted stock awards, if any, </w:t>
            </w:r>
            <w:r w:rsidRPr="001C3425">
              <w:rPr>
                <w:sz w:val="20"/>
              </w:rPr>
              <w:t>are forfeited.</w:t>
            </w:r>
            <w:r>
              <w:rPr>
                <w:sz w:val="20"/>
              </w:rPr>
              <w:t xml:space="preserve">  </w:t>
            </w:r>
          </w:p>
        </w:tc>
      </w:tr>
      <w:tr w:rsidR="00A61398" w:rsidRPr="00973CC5" w:rsidTr="00A57123">
        <w:tc>
          <w:tcPr>
            <w:tcW w:w="243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61398" w:rsidRPr="00973CC5" w:rsidRDefault="00A61398" w:rsidP="00075F08">
            <w:pPr>
              <w:widowControl/>
              <w:spacing w:after="0"/>
              <w:jc w:val="left"/>
              <w:rPr>
                <w:sz w:val="20"/>
              </w:rPr>
            </w:pPr>
            <w:r w:rsidRPr="00804647">
              <w:rPr>
                <w:sz w:val="20"/>
              </w:rPr>
              <w:t>Voluntary resignation by the executive</w:t>
            </w:r>
            <w:r>
              <w:rPr>
                <w:sz w:val="20"/>
              </w:rPr>
              <w:t>.</w:t>
            </w:r>
          </w:p>
        </w:tc>
        <w:tc>
          <w:tcPr>
            <w:tcW w:w="1800" w:type="dxa"/>
            <w:tcBorders>
              <w:top w:val="single" w:sz="4" w:space="0" w:color="auto"/>
              <w:bottom w:val="single" w:sz="4" w:space="0" w:color="auto"/>
            </w:tcBorders>
            <w:shd w:val="clear" w:color="auto" w:fill="FFFFFF" w:themeFill="background1"/>
          </w:tcPr>
          <w:p w:rsidR="00A61398" w:rsidRPr="00804647" w:rsidRDefault="00A61398" w:rsidP="00605964">
            <w:pPr>
              <w:widowControl/>
              <w:spacing w:after="0"/>
              <w:jc w:val="left"/>
              <w:rPr>
                <w:sz w:val="20"/>
              </w:rPr>
            </w:pPr>
            <w:r w:rsidRPr="005F0985">
              <w:rPr>
                <w:i/>
                <w:sz w:val="20"/>
              </w:rPr>
              <w:t>All executives</w:t>
            </w:r>
          </w:p>
        </w:tc>
        <w:tc>
          <w:tcPr>
            <w:tcW w:w="5760" w:type="dxa"/>
            <w:tcBorders>
              <w:top w:val="single" w:sz="4" w:space="0" w:color="auto"/>
              <w:bottom w:val="single" w:sz="4" w:space="0" w:color="auto"/>
            </w:tcBorders>
            <w:shd w:val="clear" w:color="auto" w:fill="FFFFFF" w:themeFill="background1"/>
            <w:tcMar>
              <w:top w:w="58" w:type="dxa"/>
              <w:left w:w="115" w:type="dxa"/>
              <w:bottom w:w="58" w:type="dxa"/>
              <w:right w:w="115" w:type="dxa"/>
            </w:tcMar>
          </w:tcPr>
          <w:p w:rsidR="00A61398" w:rsidRPr="00973CC5" w:rsidRDefault="00AF2331" w:rsidP="00FB7327">
            <w:pPr>
              <w:widowControl/>
              <w:spacing w:after="0"/>
              <w:jc w:val="left"/>
              <w:rPr>
                <w:sz w:val="20"/>
              </w:rPr>
            </w:pPr>
            <w:r>
              <w:rPr>
                <w:sz w:val="20"/>
              </w:rPr>
              <w:t>No severance compensation is paid, and a</w:t>
            </w:r>
            <w:r w:rsidRPr="001C3425">
              <w:rPr>
                <w:sz w:val="20"/>
              </w:rPr>
              <w:t xml:space="preserve">ll of </w:t>
            </w:r>
            <w:r>
              <w:rPr>
                <w:sz w:val="20"/>
              </w:rPr>
              <w:t xml:space="preserve">the shares under their outstanding restricted stock awards, if any, </w:t>
            </w:r>
            <w:r w:rsidRPr="001C3425">
              <w:rPr>
                <w:sz w:val="20"/>
              </w:rPr>
              <w:t>are forfeited.</w:t>
            </w:r>
            <w:r>
              <w:rPr>
                <w:sz w:val="20"/>
              </w:rPr>
              <w:t xml:space="preserve">  </w:t>
            </w:r>
          </w:p>
        </w:tc>
      </w:tr>
      <w:tr w:rsidR="00A61398" w:rsidRPr="00973CC5" w:rsidTr="001800EA">
        <w:trPr>
          <w:cantSplit/>
        </w:trPr>
        <w:tc>
          <w:tcPr>
            <w:tcW w:w="2430" w:type="dxa"/>
            <w:tcBorders>
              <w:top w:val="single" w:sz="4" w:space="0" w:color="auto"/>
            </w:tcBorders>
            <w:shd w:val="clear" w:color="auto" w:fill="FFFFFF" w:themeFill="background1"/>
            <w:tcMar>
              <w:top w:w="58" w:type="dxa"/>
              <w:left w:w="115" w:type="dxa"/>
              <w:bottom w:w="58" w:type="dxa"/>
              <w:right w:w="115" w:type="dxa"/>
            </w:tcMar>
          </w:tcPr>
          <w:p w:rsidR="00A61398" w:rsidRDefault="00A61398" w:rsidP="00F34471">
            <w:pPr>
              <w:widowControl/>
              <w:spacing w:after="0"/>
              <w:jc w:val="left"/>
              <w:rPr>
                <w:i/>
                <w:sz w:val="20"/>
              </w:rPr>
            </w:pPr>
            <w:r>
              <w:rPr>
                <w:sz w:val="20"/>
              </w:rPr>
              <w:lastRenderedPageBreak/>
              <w:t>A c</w:t>
            </w:r>
            <w:r w:rsidRPr="005B4177">
              <w:rPr>
                <w:sz w:val="20"/>
              </w:rPr>
              <w:t>hange</w:t>
            </w:r>
            <w:r>
              <w:rPr>
                <w:sz w:val="20"/>
              </w:rPr>
              <w:t xml:space="preserve"> </w:t>
            </w:r>
            <w:r w:rsidRPr="005B4177">
              <w:rPr>
                <w:sz w:val="20"/>
              </w:rPr>
              <w:t>in</w:t>
            </w:r>
            <w:r>
              <w:rPr>
                <w:sz w:val="20"/>
              </w:rPr>
              <w:t xml:space="preserve"> </w:t>
            </w:r>
            <w:r w:rsidRPr="005B4177">
              <w:rPr>
                <w:sz w:val="20"/>
              </w:rPr>
              <w:t>control</w:t>
            </w:r>
            <w:r>
              <w:rPr>
                <w:sz w:val="20"/>
              </w:rPr>
              <w:t xml:space="preserve"> of the Company, </w:t>
            </w:r>
            <w:r w:rsidRPr="0088490F">
              <w:rPr>
                <w:i/>
                <w:sz w:val="20"/>
              </w:rPr>
              <w:t>without</w:t>
            </w:r>
          </w:p>
          <w:p w:rsidR="00A61398" w:rsidRPr="009053F5" w:rsidRDefault="00A61398" w:rsidP="00F34471">
            <w:pPr>
              <w:widowControl/>
              <w:spacing w:after="0"/>
              <w:jc w:val="left"/>
              <w:rPr>
                <w:sz w:val="20"/>
              </w:rPr>
            </w:pPr>
            <w:r>
              <w:rPr>
                <w:sz w:val="20"/>
              </w:rPr>
              <w:t>a termination of employment.</w:t>
            </w:r>
          </w:p>
        </w:tc>
        <w:tc>
          <w:tcPr>
            <w:tcW w:w="1800" w:type="dxa"/>
            <w:tcBorders>
              <w:top w:val="single" w:sz="4" w:space="0" w:color="auto"/>
            </w:tcBorders>
            <w:shd w:val="clear" w:color="auto" w:fill="FFFFFF" w:themeFill="background1"/>
          </w:tcPr>
          <w:p w:rsidR="00A61398" w:rsidRDefault="00A61398" w:rsidP="004732BE">
            <w:pPr>
              <w:widowControl/>
              <w:spacing w:after="60"/>
              <w:jc w:val="left"/>
              <w:rPr>
                <w:sz w:val="20"/>
              </w:rPr>
            </w:pPr>
            <w:r w:rsidRPr="005F0985">
              <w:rPr>
                <w:i/>
                <w:sz w:val="20"/>
              </w:rPr>
              <w:t>All executives</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61398" w:rsidRDefault="00A61398" w:rsidP="004732BE">
            <w:pPr>
              <w:widowControl/>
              <w:spacing w:after="60"/>
              <w:jc w:val="left"/>
              <w:rPr>
                <w:sz w:val="20"/>
              </w:rPr>
            </w:pPr>
            <w:r>
              <w:rPr>
                <w:sz w:val="20"/>
              </w:rPr>
              <w:t>A</w:t>
            </w:r>
            <w:r w:rsidRPr="00F34471">
              <w:rPr>
                <w:sz w:val="20"/>
              </w:rPr>
              <w:t xml:space="preserve">ll of the shares under </w:t>
            </w:r>
            <w:r>
              <w:rPr>
                <w:sz w:val="20"/>
              </w:rPr>
              <w:t>the executives'</w:t>
            </w:r>
            <w:r w:rsidRPr="00F34471">
              <w:rPr>
                <w:sz w:val="20"/>
              </w:rPr>
              <w:t xml:space="preserve"> outstanding restricted stock awards, if any, </w:t>
            </w:r>
            <w:r>
              <w:rPr>
                <w:sz w:val="20"/>
              </w:rPr>
              <w:t>vest in full.</w:t>
            </w:r>
            <w:r w:rsidRPr="00043B8D">
              <w:rPr>
                <w:sz w:val="20"/>
                <w:vertAlign w:val="superscript"/>
              </w:rPr>
              <w:t>(3)</w:t>
            </w:r>
            <w:r>
              <w:rPr>
                <w:sz w:val="20"/>
              </w:rPr>
              <w:t xml:space="preserve">  </w:t>
            </w:r>
          </w:p>
          <w:p w:rsidR="00A61398" w:rsidRPr="00973CC5" w:rsidRDefault="00A61398" w:rsidP="00B8279E">
            <w:pPr>
              <w:widowControl/>
              <w:spacing w:after="60"/>
              <w:jc w:val="left"/>
              <w:rPr>
                <w:sz w:val="20"/>
              </w:rPr>
            </w:pPr>
            <w:r>
              <w:rPr>
                <w:sz w:val="20"/>
              </w:rPr>
              <w:t>At December 31, 201</w:t>
            </w:r>
            <w:r w:rsidR="00177DC1">
              <w:rPr>
                <w:sz w:val="20"/>
              </w:rPr>
              <w:t>5</w:t>
            </w:r>
            <w:r>
              <w:rPr>
                <w:sz w:val="20"/>
              </w:rPr>
              <w:t xml:space="preserve"> the closing price of the Company's common stock was $</w:t>
            </w:r>
            <w:r w:rsidR="00B11A67">
              <w:rPr>
                <w:sz w:val="20"/>
              </w:rPr>
              <w:t>6.08</w:t>
            </w:r>
            <w:r>
              <w:rPr>
                <w:sz w:val="20"/>
              </w:rPr>
              <w:t xml:space="preserve"> per share.  Accordingly, the </w:t>
            </w:r>
            <w:r w:rsidR="005F51AE">
              <w:rPr>
                <w:sz w:val="20"/>
              </w:rPr>
              <w:t xml:space="preserve">total </w:t>
            </w:r>
            <w:r>
              <w:rPr>
                <w:sz w:val="20"/>
              </w:rPr>
              <w:t>market value of the shares subject to restrictions that would have vested in a change in control of the Company on December 31, 201</w:t>
            </w:r>
            <w:r w:rsidR="00B11A67">
              <w:rPr>
                <w:sz w:val="20"/>
              </w:rPr>
              <w:t>5</w:t>
            </w:r>
            <w:r>
              <w:rPr>
                <w:sz w:val="20"/>
              </w:rPr>
              <w:t xml:space="preserve"> are as follows: </w:t>
            </w:r>
          </w:p>
        </w:tc>
      </w:tr>
      <w:tr w:rsidR="00A61398" w:rsidRPr="00973CC5" w:rsidTr="004F00FC">
        <w:trPr>
          <w:cantSplit/>
        </w:trPr>
        <w:tc>
          <w:tcPr>
            <w:tcW w:w="2430" w:type="dxa"/>
            <w:shd w:val="clear" w:color="auto" w:fill="FFFFFF" w:themeFill="background1"/>
            <w:tcMar>
              <w:top w:w="58" w:type="dxa"/>
              <w:left w:w="115" w:type="dxa"/>
              <w:bottom w:w="58" w:type="dxa"/>
              <w:right w:w="115" w:type="dxa"/>
            </w:tcMar>
          </w:tcPr>
          <w:p w:rsidR="00A61398" w:rsidRPr="005B4177" w:rsidRDefault="00A61398" w:rsidP="00A97D31">
            <w:pPr>
              <w:widowControl/>
              <w:spacing w:after="0"/>
              <w:jc w:val="left"/>
              <w:rPr>
                <w:sz w:val="20"/>
              </w:rPr>
            </w:pPr>
          </w:p>
        </w:tc>
        <w:tc>
          <w:tcPr>
            <w:tcW w:w="1800" w:type="dxa"/>
            <w:shd w:val="clear" w:color="auto" w:fill="FFFFFF" w:themeFill="background1"/>
          </w:tcPr>
          <w:p w:rsidR="00A61398" w:rsidRPr="004A01B0" w:rsidRDefault="00A61398" w:rsidP="000A4253">
            <w:pPr>
              <w:keepNext/>
              <w:widowControl/>
              <w:spacing w:after="60"/>
              <w:jc w:val="left"/>
              <w:rPr>
                <w:i/>
                <w:sz w:val="20"/>
              </w:rPr>
            </w:pPr>
          </w:p>
        </w:tc>
        <w:tc>
          <w:tcPr>
            <w:tcW w:w="5760" w:type="dxa"/>
            <w:shd w:val="clear" w:color="auto" w:fill="FFFFFF" w:themeFill="background1"/>
            <w:tcMar>
              <w:top w:w="58" w:type="dxa"/>
              <w:left w:w="115" w:type="dxa"/>
              <w:bottom w:w="58" w:type="dxa"/>
              <w:right w:w="115" w:type="dxa"/>
            </w:tcMar>
          </w:tcPr>
          <w:p w:rsidR="00B11A67" w:rsidRDefault="00B11A67" w:rsidP="001800EA">
            <w:pPr>
              <w:widowControl/>
              <w:tabs>
                <w:tab w:val="right" w:pos="2830"/>
              </w:tabs>
              <w:spacing w:after="40"/>
              <w:ind w:left="490"/>
              <w:jc w:val="left"/>
              <w:rPr>
                <w:i/>
                <w:sz w:val="20"/>
              </w:rPr>
            </w:pPr>
            <w:r>
              <w:rPr>
                <w:i/>
                <w:sz w:val="20"/>
              </w:rPr>
              <w:t>Mr. Varello</w:t>
            </w:r>
            <w:r>
              <w:rPr>
                <w:i/>
                <w:sz w:val="20"/>
              </w:rPr>
              <w:tab/>
            </w:r>
            <w:r w:rsidR="004D1891">
              <w:rPr>
                <w:i/>
                <w:sz w:val="20"/>
              </w:rPr>
              <w:t>$3,648,000</w:t>
            </w:r>
          </w:p>
          <w:p w:rsidR="00B11A67" w:rsidRDefault="00B11A67" w:rsidP="001800EA">
            <w:pPr>
              <w:widowControl/>
              <w:tabs>
                <w:tab w:val="right" w:pos="2830"/>
              </w:tabs>
              <w:spacing w:after="40"/>
              <w:ind w:left="490"/>
              <w:jc w:val="left"/>
              <w:rPr>
                <w:i/>
                <w:sz w:val="20"/>
              </w:rPr>
            </w:pPr>
            <w:r>
              <w:rPr>
                <w:i/>
                <w:sz w:val="20"/>
              </w:rPr>
              <w:t>Mr. Ballschmiede</w:t>
            </w:r>
            <w:r>
              <w:rPr>
                <w:i/>
                <w:sz w:val="20"/>
              </w:rPr>
              <w:tab/>
            </w:r>
            <w:r w:rsidR="004D1891">
              <w:rPr>
                <w:i/>
                <w:sz w:val="20"/>
              </w:rPr>
              <w:t>$608,000</w:t>
            </w:r>
          </w:p>
          <w:p w:rsidR="00B11A67" w:rsidRDefault="00B11A67" w:rsidP="001803CF">
            <w:pPr>
              <w:widowControl/>
              <w:tabs>
                <w:tab w:val="right" w:pos="2830"/>
              </w:tabs>
              <w:spacing w:after="0"/>
              <w:ind w:left="490"/>
              <w:jc w:val="left"/>
              <w:rPr>
                <w:i/>
                <w:sz w:val="20"/>
              </w:rPr>
            </w:pPr>
            <w:r>
              <w:rPr>
                <w:i/>
                <w:sz w:val="20"/>
              </w:rPr>
              <w:t>Mr. Blair</w:t>
            </w:r>
            <w:r>
              <w:rPr>
                <w:i/>
                <w:sz w:val="20"/>
              </w:rPr>
              <w:tab/>
            </w:r>
            <w:r w:rsidR="004D1891">
              <w:rPr>
                <w:i/>
                <w:sz w:val="20"/>
              </w:rPr>
              <w:t>$</w:t>
            </w:r>
            <w:r w:rsidR="009F797D">
              <w:rPr>
                <w:i/>
                <w:sz w:val="20"/>
              </w:rPr>
              <w:t>35,209</w:t>
            </w:r>
          </w:p>
          <w:p w:rsidR="001803CF" w:rsidRDefault="001803CF" w:rsidP="001800EA">
            <w:pPr>
              <w:widowControl/>
              <w:tabs>
                <w:tab w:val="right" w:pos="2830"/>
              </w:tabs>
              <w:spacing w:after="40"/>
              <w:ind w:left="490"/>
              <w:jc w:val="left"/>
              <w:rPr>
                <w:sz w:val="20"/>
              </w:rPr>
            </w:pPr>
            <w:r w:rsidRPr="001803CF">
              <w:rPr>
                <w:i/>
                <w:sz w:val="20"/>
              </w:rPr>
              <w:t>Mr. Barzun</w:t>
            </w:r>
            <w:r>
              <w:rPr>
                <w:sz w:val="20"/>
              </w:rPr>
              <w:t xml:space="preserve"> held no restricted stock at December 31, 2015.</w:t>
            </w:r>
          </w:p>
          <w:p w:rsidR="00A61398" w:rsidRDefault="00B11A67" w:rsidP="001803CF">
            <w:pPr>
              <w:widowControl/>
              <w:tabs>
                <w:tab w:val="right" w:pos="2830"/>
              </w:tabs>
              <w:spacing w:after="40"/>
              <w:ind w:left="490"/>
              <w:jc w:val="left"/>
              <w:rPr>
                <w:sz w:val="20"/>
              </w:rPr>
            </w:pPr>
            <w:r>
              <w:rPr>
                <w:i/>
                <w:sz w:val="20"/>
              </w:rPr>
              <w:t xml:space="preserve">Messrs. </w:t>
            </w:r>
            <w:r w:rsidR="00A61398" w:rsidRPr="00096094">
              <w:rPr>
                <w:i/>
                <w:sz w:val="20"/>
              </w:rPr>
              <w:t>MacKenna</w:t>
            </w:r>
            <w:r>
              <w:rPr>
                <w:sz w:val="20"/>
              </w:rPr>
              <w:t xml:space="preserve"> and </w:t>
            </w:r>
            <w:r w:rsidR="00A61398" w:rsidRPr="00096094">
              <w:rPr>
                <w:i/>
                <w:sz w:val="20"/>
              </w:rPr>
              <w:t>Wright</w:t>
            </w:r>
            <w:r>
              <w:rPr>
                <w:sz w:val="20"/>
              </w:rPr>
              <w:t xml:space="preserve"> were not employees at December 31, 2015.  All their restricted stock was vested </w:t>
            </w:r>
            <w:r w:rsidR="001803CF">
              <w:rPr>
                <w:sz w:val="20"/>
              </w:rPr>
              <w:t xml:space="preserve">in connection with their departure from the </w:t>
            </w:r>
            <w:r>
              <w:rPr>
                <w:sz w:val="20"/>
              </w:rPr>
              <w:t>Company.</w:t>
            </w:r>
          </w:p>
        </w:tc>
      </w:tr>
      <w:tr w:rsidR="00A61398" w:rsidRPr="00973CC5" w:rsidTr="004F00FC">
        <w:tc>
          <w:tcPr>
            <w:tcW w:w="2430" w:type="dxa"/>
            <w:tcBorders>
              <w:bottom w:val="single" w:sz="4" w:space="0" w:color="auto"/>
            </w:tcBorders>
            <w:shd w:val="clear" w:color="auto" w:fill="FFFFFF" w:themeFill="background1"/>
            <w:tcMar>
              <w:top w:w="58" w:type="dxa"/>
              <w:left w:w="115" w:type="dxa"/>
              <w:bottom w:w="58" w:type="dxa"/>
              <w:right w:w="115" w:type="dxa"/>
            </w:tcMar>
          </w:tcPr>
          <w:p w:rsidR="00A61398" w:rsidRPr="005B4177" w:rsidRDefault="00A61398" w:rsidP="00A97D31">
            <w:pPr>
              <w:widowControl/>
              <w:spacing w:after="0"/>
              <w:jc w:val="left"/>
              <w:rPr>
                <w:sz w:val="20"/>
              </w:rPr>
            </w:pPr>
          </w:p>
        </w:tc>
        <w:tc>
          <w:tcPr>
            <w:tcW w:w="1800" w:type="dxa"/>
            <w:tcBorders>
              <w:bottom w:val="single" w:sz="4" w:space="0" w:color="auto"/>
            </w:tcBorders>
            <w:shd w:val="clear" w:color="auto" w:fill="FFFFFF" w:themeFill="background1"/>
          </w:tcPr>
          <w:p w:rsidR="00A61398" w:rsidRPr="004A01B0" w:rsidRDefault="00A61398" w:rsidP="000A4253">
            <w:pPr>
              <w:keepNext/>
              <w:widowControl/>
              <w:spacing w:after="60"/>
              <w:jc w:val="left"/>
              <w:rPr>
                <w:i/>
                <w:sz w:val="20"/>
              </w:rPr>
            </w:pPr>
            <w:r w:rsidRPr="004A01B0">
              <w:rPr>
                <w:i/>
                <w:sz w:val="20"/>
              </w:rPr>
              <w:t>Mr. Wright</w:t>
            </w:r>
          </w:p>
        </w:tc>
        <w:tc>
          <w:tcPr>
            <w:tcW w:w="5760" w:type="dxa"/>
            <w:tcBorders>
              <w:bottom w:val="single" w:sz="4" w:space="0" w:color="auto"/>
            </w:tcBorders>
            <w:shd w:val="clear" w:color="auto" w:fill="FFFFFF" w:themeFill="background1"/>
            <w:tcMar>
              <w:top w:w="58" w:type="dxa"/>
              <w:left w:w="115" w:type="dxa"/>
              <w:bottom w:w="58" w:type="dxa"/>
              <w:right w:w="115" w:type="dxa"/>
            </w:tcMar>
          </w:tcPr>
          <w:p w:rsidR="00A61398" w:rsidRDefault="00A61398" w:rsidP="00DD75F9">
            <w:pPr>
              <w:keepNext/>
              <w:widowControl/>
              <w:spacing w:after="60"/>
              <w:jc w:val="left"/>
              <w:rPr>
                <w:i/>
                <w:sz w:val="20"/>
              </w:rPr>
            </w:pPr>
            <w:r>
              <w:rPr>
                <w:sz w:val="20"/>
              </w:rPr>
              <w:t>In addition to the vesting of his restricted stock, Mr. Wright would have been entitled to a lump sum payment equal to one year's salary ($3</w:t>
            </w:r>
            <w:r w:rsidR="00DD75F9">
              <w:rPr>
                <w:sz w:val="20"/>
              </w:rPr>
              <w:t>7</w:t>
            </w:r>
            <w:r>
              <w:rPr>
                <w:sz w:val="20"/>
              </w:rPr>
              <w:t>5,000</w:t>
            </w:r>
            <w:r w:rsidR="004F00FC">
              <w:rPr>
                <w:sz w:val="20"/>
              </w:rPr>
              <w:t>)</w:t>
            </w:r>
            <w:r>
              <w:rPr>
                <w:sz w:val="20"/>
              </w:rPr>
              <w:t xml:space="preserve"> on the consummation of a change in control of the Company provided that during the negotiations of the transaction he </w:t>
            </w:r>
            <w:r w:rsidRPr="00161B1F">
              <w:rPr>
                <w:sz w:val="20"/>
              </w:rPr>
              <w:t>remain</w:t>
            </w:r>
            <w:r>
              <w:rPr>
                <w:sz w:val="20"/>
              </w:rPr>
              <w:t>ed</w:t>
            </w:r>
            <w:r w:rsidRPr="00161B1F">
              <w:rPr>
                <w:sz w:val="20"/>
              </w:rPr>
              <w:t xml:space="preserve"> an employee of the Company</w:t>
            </w:r>
            <w:r>
              <w:rPr>
                <w:sz w:val="20"/>
              </w:rPr>
              <w:t xml:space="preserve"> and </w:t>
            </w:r>
            <w:r w:rsidRPr="00161B1F">
              <w:rPr>
                <w:sz w:val="20"/>
              </w:rPr>
              <w:t>diligently</w:t>
            </w:r>
            <w:r>
              <w:rPr>
                <w:sz w:val="20"/>
              </w:rPr>
              <w:t xml:space="preserve"> t</w:t>
            </w:r>
            <w:r w:rsidRPr="00161B1F">
              <w:rPr>
                <w:sz w:val="20"/>
              </w:rPr>
              <w:t xml:space="preserve">o the best of </w:t>
            </w:r>
            <w:r>
              <w:rPr>
                <w:sz w:val="20"/>
              </w:rPr>
              <w:t xml:space="preserve">his </w:t>
            </w:r>
            <w:r w:rsidRPr="00161B1F">
              <w:rPr>
                <w:sz w:val="20"/>
              </w:rPr>
              <w:t xml:space="preserve">abilities </w:t>
            </w:r>
            <w:r>
              <w:rPr>
                <w:sz w:val="20"/>
              </w:rPr>
              <w:t xml:space="preserve">carried </w:t>
            </w:r>
            <w:r w:rsidRPr="00161B1F">
              <w:rPr>
                <w:sz w:val="20"/>
              </w:rPr>
              <w:t xml:space="preserve">out </w:t>
            </w:r>
            <w:r>
              <w:rPr>
                <w:sz w:val="20"/>
              </w:rPr>
              <w:t xml:space="preserve">his duties and </w:t>
            </w:r>
            <w:r w:rsidRPr="00161B1F">
              <w:rPr>
                <w:sz w:val="20"/>
              </w:rPr>
              <w:t xml:space="preserve">responsibilities. </w:t>
            </w:r>
            <w:r>
              <w:rPr>
                <w:sz w:val="20"/>
              </w:rPr>
              <w:t xml:space="preserve"> </w:t>
            </w:r>
          </w:p>
        </w:tc>
      </w:tr>
      <w:tr w:rsidR="00A61398" w:rsidRPr="00973CC5" w:rsidTr="004F00FC">
        <w:trPr>
          <w:cantSplit/>
        </w:trPr>
        <w:tc>
          <w:tcPr>
            <w:tcW w:w="2430" w:type="dxa"/>
            <w:tcBorders>
              <w:top w:val="single" w:sz="4" w:space="0" w:color="auto"/>
            </w:tcBorders>
            <w:shd w:val="clear" w:color="auto" w:fill="FFFFFF" w:themeFill="background1"/>
            <w:tcMar>
              <w:top w:w="58" w:type="dxa"/>
              <w:left w:w="115" w:type="dxa"/>
              <w:bottom w:w="58" w:type="dxa"/>
              <w:right w:w="115" w:type="dxa"/>
            </w:tcMar>
          </w:tcPr>
          <w:p w:rsidR="00A61398" w:rsidRDefault="00A61398" w:rsidP="007A6BBF">
            <w:pPr>
              <w:widowControl/>
              <w:spacing w:after="0"/>
              <w:jc w:val="left"/>
              <w:rPr>
                <w:sz w:val="20"/>
              </w:rPr>
            </w:pPr>
            <w:r>
              <w:rPr>
                <w:sz w:val="20"/>
              </w:rPr>
              <w:t>A c</w:t>
            </w:r>
            <w:r w:rsidRPr="005B4177">
              <w:rPr>
                <w:sz w:val="20"/>
              </w:rPr>
              <w:t>hange</w:t>
            </w:r>
            <w:r>
              <w:rPr>
                <w:sz w:val="20"/>
              </w:rPr>
              <w:t xml:space="preserve"> </w:t>
            </w:r>
            <w:r w:rsidRPr="005B4177">
              <w:rPr>
                <w:sz w:val="20"/>
              </w:rPr>
              <w:t>in</w:t>
            </w:r>
            <w:r>
              <w:rPr>
                <w:sz w:val="20"/>
              </w:rPr>
              <w:t xml:space="preserve"> c</w:t>
            </w:r>
            <w:r w:rsidRPr="005B4177">
              <w:rPr>
                <w:sz w:val="20"/>
              </w:rPr>
              <w:t xml:space="preserve">ontrol </w:t>
            </w:r>
            <w:r w:rsidRPr="0088490F">
              <w:rPr>
                <w:i/>
                <w:sz w:val="20"/>
              </w:rPr>
              <w:t>preceded or followed</w:t>
            </w:r>
          </w:p>
          <w:p w:rsidR="00A61398" w:rsidRPr="005B4177" w:rsidRDefault="00A61398" w:rsidP="007A6BBF">
            <w:pPr>
              <w:widowControl/>
              <w:spacing w:after="0"/>
              <w:jc w:val="left"/>
              <w:rPr>
                <w:sz w:val="20"/>
              </w:rPr>
            </w:pPr>
            <w:r>
              <w:rPr>
                <w:sz w:val="20"/>
              </w:rPr>
              <w:t xml:space="preserve">by </w:t>
            </w:r>
            <w:r w:rsidRPr="005B4177">
              <w:rPr>
                <w:sz w:val="20"/>
              </w:rPr>
              <w:t>a termination of employment</w:t>
            </w:r>
            <w:r>
              <w:rPr>
                <w:sz w:val="20"/>
              </w:rPr>
              <w:t xml:space="preserve"> without cause.</w:t>
            </w:r>
            <w:r w:rsidRPr="00973CC5">
              <w:rPr>
                <w:sz w:val="20"/>
                <w:vertAlign w:val="superscript"/>
              </w:rPr>
              <w:t>(1)</w:t>
            </w:r>
          </w:p>
        </w:tc>
        <w:tc>
          <w:tcPr>
            <w:tcW w:w="1800" w:type="dxa"/>
            <w:tcBorders>
              <w:top w:val="single" w:sz="4" w:space="0" w:color="auto"/>
            </w:tcBorders>
            <w:shd w:val="clear" w:color="auto" w:fill="FFFFFF" w:themeFill="background1"/>
          </w:tcPr>
          <w:p w:rsidR="00A61398" w:rsidRPr="001A2F15" w:rsidRDefault="00A61398" w:rsidP="00F16F36">
            <w:pPr>
              <w:widowControl/>
              <w:spacing w:after="60"/>
              <w:jc w:val="left"/>
              <w:rPr>
                <w:i/>
                <w:sz w:val="20"/>
              </w:rPr>
            </w:pPr>
            <w:r w:rsidRPr="001A2F15">
              <w:rPr>
                <w:i/>
                <w:sz w:val="20"/>
              </w:rPr>
              <w:t>All executives</w:t>
            </w:r>
          </w:p>
        </w:tc>
        <w:tc>
          <w:tcPr>
            <w:tcW w:w="5760" w:type="dxa"/>
            <w:tcBorders>
              <w:top w:val="single" w:sz="4" w:space="0" w:color="auto"/>
            </w:tcBorders>
            <w:shd w:val="clear" w:color="auto" w:fill="FFFFFF" w:themeFill="background1"/>
            <w:tcMar>
              <w:top w:w="58" w:type="dxa"/>
              <w:left w:w="115" w:type="dxa"/>
              <w:bottom w:w="58" w:type="dxa"/>
              <w:right w:w="115" w:type="dxa"/>
            </w:tcMar>
          </w:tcPr>
          <w:p w:rsidR="00A61398" w:rsidRPr="009607B3" w:rsidRDefault="00A61398" w:rsidP="001A2F15">
            <w:pPr>
              <w:widowControl/>
              <w:spacing w:after="60"/>
              <w:jc w:val="left"/>
              <w:rPr>
                <w:sz w:val="20"/>
              </w:rPr>
            </w:pPr>
            <w:r>
              <w:rPr>
                <w:sz w:val="20"/>
              </w:rPr>
              <w:t>As described in the immediately preceding section, a</w:t>
            </w:r>
            <w:r w:rsidRPr="00F34471">
              <w:rPr>
                <w:sz w:val="20"/>
              </w:rPr>
              <w:t xml:space="preserve">ll of the shares under their outstanding restricted stock awards, if any, </w:t>
            </w:r>
            <w:r>
              <w:rPr>
                <w:sz w:val="20"/>
              </w:rPr>
              <w:t>vest in full.</w:t>
            </w:r>
            <w:r w:rsidRPr="00043B8D">
              <w:rPr>
                <w:sz w:val="20"/>
                <w:vertAlign w:val="superscript"/>
              </w:rPr>
              <w:t>(3)</w:t>
            </w:r>
            <w:r>
              <w:rPr>
                <w:sz w:val="20"/>
              </w:rPr>
              <w:t xml:space="preserve">  </w:t>
            </w:r>
          </w:p>
        </w:tc>
      </w:tr>
      <w:tr w:rsidR="00910EAA" w:rsidRPr="00973CC5" w:rsidTr="000312EA">
        <w:tc>
          <w:tcPr>
            <w:tcW w:w="2430" w:type="dxa"/>
            <w:shd w:val="clear" w:color="auto" w:fill="FFFFFF" w:themeFill="background1"/>
            <w:tcMar>
              <w:top w:w="58" w:type="dxa"/>
              <w:left w:w="115" w:type="dxa"/>
              <w:bottom w:w="58" w:type="dxa"/>
              <w:right w:w="115" w:type="dxa"/>
            </w:tcMar>
          </w:tcPr>
          <w:p w:rsidR="00910EAA" w:rsidRPr="005B4177" w:rsidRDefault="00910EAA" w:rsidP="00A97D31">
            <w:pPr>
              <w:widowControl/>
              <w:spacing w:after="0"/>
              <w:jc w:val="left"/>
              <w:rPr>
                <w:sz w:val="20"/>
              </w:rPr>
            </w:pPr>
          </w:p>
        </w:tc>
        <w:tc>
          <w:tcPr>
            <w:tcW w:w="1800" w:type="dxa"/>
            <w:shd w:val="clear" w:color="auto" w:fill="FFFFFF" w:themeFill="background1"/>
          </w:tcPr>
          <w:p w:rsidR="00910EAA" w:rsidRDefault="00910EAA" w:rsidP="00843503">
            <w:pPr>
              <w:widowControl/>
              <w:spacing w:after="60"/>
              <w:jc w:val="left"/>
              <w:rPr>
                <w:i/>
                <w:sz w:val="20"/>
              </w:rPr>
            </w:pPr>
          </w:p>
        </w:tc>
        <w:tc>
          <w:tcPr>
            <w:tcW w:w="5760" w:type="dxa"/>
            <w:shd w:val="clear" w:color="auto" w:fill="FFFFFF" w:themeFill="background1"/>
            <w:tcMar>
              <w:top w:w="58" w:type="dxa"/>
              <w:left w:w="115" w:type="dxa"/>
              <w:bottom w:w="58" w:type="dxa"/>
              <w:right w:w="115" w:type="dxa"/>
            </w:tcMar>
          </w:tcPr>
          <w:p w:rsidR="00910EAA" w:rsidRDefault="00910EAA" w:rsidP="008008A8">
            <w:pPr>
              <w:widowControl/>
              <w:spacing w:after="60"/>
              <w:jc w:val="left"/>
              <w:rPr>
                <w:sz w:val="20"/>
              </w:rPr>
            </w:pPr>
          </w:p>
        </w:tc>
      </w:tr>
      <w:tr w:rsidR="00A61398" w:rsidRPr="00973CC5" w:rsidTr="000312EA">
        <w:tc>
          <w:tcPr>
            <w:tcW w:w="2430" w:type="dxa"/>
            <w:shd w:val="clear" w:color="auto" w:fill="FFFFFF" w:themeFill="background1"/>
            <w:tcMar>
              <w:top w:w="58" w:type="dxa"/>
              <w:left w:w="115" w:type="dxa"/>
              <w:bottom w:w="58" w:type="dxa"/>
              <w:right w:w="115" w:type="dxa"/>
            </w:tcMar>
          </w:tcPr>
          <w:p w:rsidR="00A61398" w:rsidRPr="005B4177" w:rsidRDefault="00A61398" w:rsidP="00A97D31">
            <w:pPr>
              <w:widowControl/>
              <w:spacing w:after="0"/>
              <w:jc w:val="left"/>
              <w:rPr>
                <w:sz w:val="20"/>
              </w:rPr>
            </w:pPr>
          </w:p>
        </w:tc>
        <w:tc>
          <w:tcPr>
            <w:tcW w:w="1800" w:type="dxa"/>
            <w:shd w:val="clear" w:color="auto" w:fill="FFFFFF" w:themeFill="background1"/>
          </w:tcPr>
          <w:p w:rsidR="00A61398" w:rsidRPr="00BE3EEB" w:rsidRDefault="00A61398" w:rsidP="00843503">
            <w:pPr>
              <w:widowControl/>
              <w:spacing w:after="60"/>
              <w:jc w:val="left"/>
              <w:rPr>
                <w:i/>
                <w:sz w:val="20"/>
              </w:rPr>
            </w:pPr>
            <w:r>
              <w:rPr>
                <w:i/>
                <w:sz w:val="20"/>
              </w:rPr>
              <w:t>Mr.</w:t>
            </w:r>
            <w:r w:rsidRPr="004A01B0">
              <w:rPr>
                <w:i/>
                <w:sz w:val="20"/>
              </w:rPr>
              <w:t xml:space="preserve"> MacKenna</w:t>
            </w:r>
          </w:p>
        </w:tc>
        <w:tc>
          <w:tcPr>
            <w:tcW w:w="5760" w:type="dxa"/>
            <w:shd w:val="clear" w:color="auto" w:fill="FFFFFF" w:themeFill="background1"/>
            <w:tcMar>
              <w:top w:w="58" w:type="dxa"/>
              <w:left w:w="115" w:type="dxa"/>
              <w:bottom w:w="58" w:type="dxa"/>
              <w:right w:w="115" w:type="dxa"/>
            </w:tcMar>
          </w:tcPr>
          <w:p w:rsidR="00A61398" w:rsidRDefault="00A61398" w:rsidP="008008A8">
            <w:pPr>
              <w:widowControl/>
              <w:spacing w:after="60"/>
              <w:jc w:val="left"/>
              <w:rPr>
                <w:sz w:val="20"/>
              </w:rPr>
            </w:pPr>
            <w:r>
              <w:rPr>
                <w:sz w:val="20"/>
              </w:rPr>
              <w:t>I</w:t>
            </w:r>
            <w:r w:rsidRPr="004A01B0">
              <w:rPr>
                <w:sz w:val="20"/>
              </w:rPr>
              <w:t xml:space="preserve">f </w:t>
            </w:r>
            <w:r>
              <w:rPr>
                <w:sz w:val="20"/>
              </w:rPr>
              <w:t xml:space="preserve">the </w:t>
            </w:r>
            <w:r w:rsidRPr="004A01B0">
              <w:rPr>
                <w:sz w:val="20"/>
              </w:rPr>
              <w:t xml:space="preserve">termination of employment without cause </w:t>
            </w:r>
            <w:r>
              <w:rPr>
                <w:sz w:val="20"/>
              </w:rPr>
              <w:t xml:space="preserve">had occurred </w:t>
            </w:r>
            <w:r w:rsidRPr="004A01B0">
              <w:rPr>
                <w:sz w:val="20"/>
              </w:rPr>
              <w:t xml:space="preserve">during a period </w:t>
            </w:r>
            <w:r>
              <w:rPr>
                <w:sz w:val="20"/>
              </w:rPr>
              <w:t xml:space="preserve">starting </w:t>
            </w:r>
            <w:r w:rsidRPr="004A01B0">
              <w:rPr>
                <w:sz w:val="20"/>
              </w:rPr>
              <w:t>ninety days before and ending two years aft</w:t>
            </w:r>
            <w:r>
              <w:rPr>
                <w:sz w:val="20"/>
              </w:rPr>
              <w:t xml:space="preserve">er a change </w:t>
            </w:r>
            <w:r w:rsidRPr="004A01B0">
              <w:rPr>
                <w:sz w:val="20"/>
              </w:rPr>
              <w:t>in</w:t>
            </w:r>
            <w:r>
              <w:rPr>
                <w:sz w:val="20"/>
              </w:rPr>
              <w:t xml:space="preserve"> </w:t>
            </w:r>
            <w:r w:rsidRPr="004A01B0">
              <w:rPr>
                <w:sz w:val="20"/>
              </w:rPr>
              <w:t>control</w:t>
            </w:r>
            <w:r>
              <w:rPr>
                <w:sz w:val="20"/>
              </w:rPr>
              <w:t xml:space="preserve">, he would have been entitled in </w:t>
            </w:r>
            <w:r w:rsidRPr="004A01B0">
              <w:rPr>
                <w:sz w:val="20"/>
              </w:rPr>
              <w:t xml:space="preserve">a lump sum </w:t>
            </w:r>
            <w:r>
              <w:rPr>
                <w:sz w:val="20"/>
              </w:rPr>
              <w:t>to —</w:t>
            </w:r>
          </w:p>
          <w:p w:rsidR="00A61398" w:rsidRPr="00A57123" w:rsidRDefault="00A61398" w:rsidP="00A57123">
            <w:pPr>
              <w:pStyle w:val="ListParagraph"/>
              <w:widowControl/>
              <w:numPr>
                <w:ilvl w:val="0"/>
                <w:numId w:val="37"/>
              </w:numPr>
              <w:tabs>
                <w:tab w:val="left" w:pos="335"/>
              </w:tabs>
              <w:spacing w:after="60"/>
              <w:ind w:left="331" w:hanging="331"/>
              <w:contextualSpacing w:val="0"/>
              <w:jc w:val="left"/>
              <w:rPr>
                <w:sz w:val="20"/>
              </w:rPr>
            </w:pPr>
            <w:r w:rsidRPr="00A57123">
              <w:rPr>
                <w:sz w:val="20"/>
              </w:rPr>
              <w:t>The payment and benefits that are described above for a termination of his employment without cause not in connection with a change in control; and</w:t>
            </w:r>
          </w:p>
          <w:p w:rsidR="00A61398" w:rsidRPr="00A57123" w:rsidRDefault="00A61398" w:rsidP="00A57123">
            <w:pPr>
              <w:pStyle w:val="ListParagraph"/>
              <w:widowControl/>
              <w:numPr>
                <w:ilvl w:val="0"/>
                <w:numId w:val="37"/>
              </w:numPr>
              <w:tabs>
                <w:tab w:val="left" w:pos="335"/>
              </w:tabs>
              <w:spacing w:after="60"/>
              <w:ind w:left="335" w:hanging="335"/>
              <w:jc w:val="left"/>
              <w:rPr>
                <w:i/>
                <w:sz w:val="20"/>
              </w:rPr>
            </w:pPr>
            <w:r w:rsidRPr="00A57123">
              <w:rPr>
                <w:sz w:val="20"/>
              </w:rPr>
              <w:t>A net, lump sum, change-in-control severance payment of $900,000.</w:t>
            </w:r>
          </w:p>
        </w:tc>
      </w:tr>
      <w:tr w:rsidR="00A61398" w:rsidRPr="00973CC5" w:rsidTr="000312EA">
        <w:tc>
          <w:tcPr>
            <w:tcW w:w="2430" w:type="dxa"/>
            <w:tcBorders>
              <w:bottom w:val="single" w:sz="4" w:space="0" w:color="auto"/>
            </w:tcBorders>
            <w:shd w:val="clear" w:color="auto" w:fill="FFFFFF" w:themeFill="background1"/>
            <w:tcMar>
              <w:top w:w="58" w:type="dxa"/>
              <w:left w:w="115" w:type="dxa"/>
              <w:bottom w:w="58" w:type="dxa"/>
              <w:right w:w="115" w:type="dxa"/>
            </w:tcMar>
          </w:tcPr>
          <w:p w:rsidR="00A61398" w:rsidRPr="005B4177" w:rsidRDefault="00A61398" w:rsidP="00A97D31">
            <w:pPr>
              <w:widowControl/>
              <w:spacing w:after="0"/>
              <w:jc w:val="left"/>
              <w:rPr>
                <w:sz w:val="20"/>
              </w:rPr>
            </w:pPr>
          </w:p>
        </w:tc>
        <w:tc>
          <w:tcPr>
            <w:tcW w:w="1800" w:type="dxa"/>
            <w:tcBorders>
              <w:bottom w:val="single" w:sz="4" w:space="0" w:color="auto"/>
            </w:tcBorders>
            <w:shd w:val="clear" w:color="auto" w:fill="FFFFFF" w:themeFill="background1"/>
          </w:tcPr>
          <w:p w:rsidR="00A61398" w:rsidRPr="00BE3EEB" w:rsidRDefault="00A61398" w:rsidP="00843503">
            <w:pPr>
              <w:widowControl/>
              <w:spacing w:after="60"/>
              <w:jc w:val="left"/>
              <w:rPr>
                <w:i/>
                <w:sz w:val="20"/>
              </w:rPr>
            </w:pPr>
            <w:r w:rsidRPr="00BE3EEB">
              <w:rPr>
                <w:i/>
                <w:sz w:val="20"/>
              </w:rPr>
              <w:t>Mr. Wright</w:t>
            </w:r>
          </w:p>
        </w:tc>
        <w:tc>
          <w:tcPr>
            <w:tcW w:w="5760" w:type="dxa"/>
            <w:tcBorders>
              <w:bottom w:val="single" w:sz="4" w:space="0" w:color="auto"/>
            </w:tcBorders>
            <w:shd w:val="clear" w:color="auto" w:fill="FFFFFF" w:themeFill="background1"/>
            <w:tcMar>
              <w:top w:w="58" w:type="dxa"/>
              <w:left w:w="115" w:type="dxa"/>
              <w:bottom w:w="58" w:type="dxa"/>
              <w:right w:w="115" w:type="dxa"/>
            </w:tcMar>
          </w:tcPr>
          <w:p w:rsidR="00A61398" w:rsidRDefault="00A61398" w:rsidP="005631BB">
            <w:pPr>
              <w:widowControl/>
              <w:spacing w:after="60"/>
              <w:jc w:val="left"/>
              <w:rPr>
                <w:sz w:val="20"/>
              </w:rPr>
            </w:pPr>
            <w:r>
              <w:rPr>
                <w:sz w:val="20"/>
              </w:rPr>
              <w:t>The $3</w:t>
            </w:r>
            <w:r w:rsidR="00DD75F9">
              <w:rPr>
                <w:sz w:val="20"/>
              </w:rPr>
              <w:t>7</w:t>
            </w:r>
            <w:r>
              <w:rPr>
                <w:sz w:val="20"/>
              </w:rPr>
              <w:t>5,000 payment described in the previous section that would be made upon the consummation of a change in control; and</w:t>
            </w:r>
          </w:p>
          <w:p w:rsidR="00A61398" w:rsidRPr="00065ACE" w:rsidRDefault="00A61398" w:rsidP="005631BB">
            <w:pPr>
              <w:widowControl/>
              <w:spacing w:after="60"/>
              <w:jc w:val="left"/>
              <w:rPr>
                <w:sz w:val="20"/>
              </w:rPr>
            </w:pPr>
            <w:r>
              <w:rPr>
                <w:sz w:val="20"/>
              </w:rPr>
              <w:t>The payment and benefits that are described above for a termination of his employment without cause irrespective of a change in control.</w:t>
            </w:r>
          </w:p>
        </w:tc>
      </w:tr>
    </w:tbl>
    <w:p w:rsidR="0074471C" w:rsidRPr="00F17691" w:rsidRDefault="00CC43A0" w:rsidP="00672977">
      <w:pPr>
        <w:widowControl/>
        <w:tabs>
          <w:tab w:val="left" w:pos="360"/>
        </w:tabs>
        <w:spacing w:before="100" w:after="60"/>
        <w:ind w:left="360" w:hanging="360"/>
        <w:jc w:val="left"/>
        <w:rPr>
          <w:sz w:val="20"/>
        </w:rPr>
      </w:pPr>
      <w:r w:rsidRPr="00F17691">
        <w:rPr>
          <w:sz w:val="20"/>
        </w:rPr>
        <w:t>(1)</w:t>
      </w:r>
      <w:r w:rsidRPr="00F17691">
        <w:rPr>
          <w:sz w:val="20"/>
        </w:rPr>
        <w:tab/>
        <w:t xml:space="preserve">A termination without cause is a termination for any reason other than </w:t>
      </w:r>
      <w:r w:rsidR="003D0C52">
        <w:rPr>
          <w:sz w:val="20"/>
        </w:rPr>
        <w:t xml:space="preserve">a termination </w:t>
      </w:r>
      <w:r w:rsidRPr="00F17691">
        <w:rPr>
          <w:sz w:val="20"/>
        </w:rPr>
        <w:t xml:space="preserve">for cause, permanent disability, death or </w:t>
      </w:r>
      <w:r w:rsidR="0077077E">
        <w:rPr>
          <w:sz w:val="20"/>
        </w:rPr>
        <w:t xml:space="preserve">a </w:t>
      </w:r>
      <w:r w:rsidRPr="00F17691">
        <w:rPr>
          <w:sz w:val="20"/>
        </w:rPr>
        <w:t>voluntary resignation</w:t>
      </w:r>
      <w:r w:rsidR="0077077E">
        <w:rPr>
          <w:sz w:val="20"/>
        </w:rPr>
        <w:t>,</w:t>
      </w:r>
      <w:r w:rsidR="001A2F15">
        <w:rPr>
          <w:sz w:val="20"/>
        </w:rPr>
        <w:t xml:space="preserve"> </w:t>
      </w:r>
      <w:r w:rsidR="0077077E">
        <w:rPr>
          <w:sz w:val="20"/>
        </w:rPr>
        <w:t xml:space="preserve">but includes </w:t>
      </w:r>
      <w:r w:rsidR="001A2F15">
        <w:rPr>
          <w:sz w:val="20"/>
        </w:rPr>
        <w:t xml:space="preserve">a resignation by the executive that is </w:t>
      </w:r>
      <w:r w:rsidRPr="00F17691">
        <w:rPr>
          <w:sz w:val="20"/>
        </w:rPr>
        <w:t xml:space="preserve">the result of a breach by the Company of a material provision of his employment agreement.  </w:t>
      </w:r>
    </w:p>
    <w:p w:rsidR="00115EC7" w:rsidRPr="00F17691" w:rsidRDefault="001E66EE" w:rsidP="00A3736E">
      <w:pPr>
        <w:widowControl/>
        <w:tabs>
          <w:tab w:val="left" w:pos="360"/>
        </w:tabs>
        <w:spacing w:after="60"/>
        <w:ind w:left="360" w:hanging="360"/>
        <w:jc w:val="left"/>
        <w:rPr>
          <w:sz w:val="20"/>
        </w:rPr>
      </w:pPr>
      <w:r>
        <w:rPr>
          <w:sz w:val="20"/>
        </w:rPr>
        <w:t>(</w:t>
      </w:r>
      <w:r w:rsidR="00CE0FE1">
        <w:rPr>
          <w:sz w:val="20"/>
        </w:rPr>
        <w:t>2</w:t>
      </w:r>
      <w:r w:rsidR="00115EC7" w:rsidRPr="00F17691">
        <w:rPr>
          <w:sz w:val="20"/>
        </w:rPr>
        <w:t>)</w:t>
      </w:r>
      <w:r w:rsidR="00115EC7" w:rsidRPr="00F17691">
        <w:rPr>
          <w:sz w:val="20"/>
        </w:rPr>
        <w:tab/>
        <w:t xml:space="preserve">The term "cause" is a defined term </w:t>
      </w:r>
      <w:r w:rsidR="0074498C">
        <w:rPr>
          <w:sz w:val="20"/>
        </w:rPr>
        <w:t>for executives with</w:t>
      </w:r>
      <w:r w:rsidR="00FC68AB">
        <w:rPr>
          <w:sz w:val="20"/>
        </w:rPr>
        <w:t xml:space="preserve"> </w:t>
      </w:r>
      <w:r w:rsidR="00A361CB">
        <w:rPr>
          <w:sz w:val="20"/>
        </w:rPr>
        <w:t>employment</w:t>
      </w:r>
      <w:r w:rsidR="00FC68AB">
        <w:rPr>
          <w:sz w:val="20"/>
        </w:rPr>
        <w:t xml:space="preserve"> agreements</w:t>
      </w:r>
      <w:r w:rsidR="0074498C">
        <w:rPr>
          <w:sz w:val="20"/>
        </w:rPr>
        <w:t>,</w:t>
      </w:r>
      <w:r w:rsidR="00FC68AB">
        <w:rPr>
          <w:sz w:val="20"/>
        </w:rPr>
        <w:t xml:space="preserve"> </w:t>
      </w:r>
      <w:r w:rsidR="00115EC7" w:rsidRPr="00F17691">
        <w:rPr>
          <w:sz w:val="20"/>
        </w:rPr>
        <w:t xml:space="preserve">and means what is commonly referred to as cause in employment matters, such as gross negligence, dishonesty, insubordination, inadequate performance of responsibilities after notice, and the like.  </w:t>
      </w:r>
    </w:p>
    <w:p w:rsidR="00043B8D" w:rsidRPr="00F17691" w:rsidRDefault="00043B8D" w:rsidP="000E559D">
      <w:pPr>
        <w:widowControl/>
        <w:tabs>
          <w:tab w:val="left" w:pos="360"/>
        </w:tabs>
        <w:ind w:left="360" w:hanging="360"/>
        <w:jc w:val="left"/>
        <w:rPr>
          <w:sz w:val="20"/>
        </w:rPr>
      </w:pPr>
      <w:r w:rsidRPr="00F17691">
        <w:rPr>
          <w:sz w:val="20"/>
        </w:rPr>
        <w:t>(</w:t>
      </w:r>
      <w:r w:rsidR="00CE0FE1">
        <w:rPr>
          <w:sz w:val="20"/>
        </w:rPr>
        <w:t>3</w:t>
      </w:r>
      <w:r w:rsidRPr="00F17691">
        <w:rPr>
          <w:sz w:val="20"/>
        </w:rPr>
        <w:t>)</w:t>
      </w:r>
      <w:r w:rsidRPr="00F17691">
        <w:rPr>
          <w:sz w:val="20"/>
        </w:rPr>
        <w:tab/>
        <w:t xml:space="preserve">The accelerated release of restrictions </w:t>
      </w:r>
      <w:r w:rsidR="009D3BA7">
        <w:rPr>
          <w:sz w:val="20"/>
        </w:rPr>
        <w:t xml:space="preserve">triggers </w:t>
      </w:r>
      <w:r w:rsidRPr="00F17691">
        <w:rPr>
          <w:sz w:val="20"/>
        </w:rPr>
        <w:t xml:space="preserve">no additional </w:t>
      </w:r>
      <w:r w:rsidR="00FE39B9">
        <w:rPr>
          <w:sz w:val="20"/>
        </w:rPr>
        <w:t xml:space="preserve">Company </w:t>
      </w:r>
      <w:r w:rsidR="009D3BA7">
        <w:rPr>
          <w:sz w:val="20"/>
        </w:rPr>
        <w:t>payment obligation</w:t>
      </w:r>
      <w:r w:rsidRPr="00F17691">
        <w:rPr>
          <w:sz w:val="20"/>
        </w:rPr>
        <w:t xml:space="preserve">, but </w:t>
      </w:r>
      <w:r w:rsidR="00FE39B9">
        <w:rPr>
          <w:sz w:val="20"/>
        </w:rPr>
        <w:t xml:space="preserve">it </w:t>
      </w:r>
      <w:r w:rsidR="00B12743">
        <w:rPr>
          <w:sz w:val="20"/>
        </w:rPr>
        <w:t>does accelerate</w:t>
      </w:r>
      <w:r w:rsidRPr="001F23A7">
        <w:rPr>
          <w:sz w:val="20"/>
        </w:rPr>
        <w:t xml:space="preserve"> the recognition </w:t>
      </w:r>
      <w:r w:rsidR="00565024" w:rsidRPr="001F23A7">
        <w:rPr>
          <w:sz w:val="20"/>
        </w:rPr>
        <w:t xml:space="preserve">by the Company </w:t>
      </w:r>
      <w:r w:rsidRPr="001F23A7">
        <w:rPr>
          <w:sz w:val="20"/>
        </w:rPr>
        <w:t>of the cost of the award</w:t>
      </w:r>
      <w:r w:rsidRPr="00F17691">
        <w:rPr>
          <w:sz w:val="20"/>
        </w:rPr>
        <w:t xml:space="preserve">.  </w:t>
      </w:r>
    </w:p>
    <w:p w:rsidR="00C12BAD" w:rsidRDefault="00C12BAD" w:rsidP="00672977">
      <w:pPr>
        <w:keepNext/>
        <w:widowControl/>
        <w:tabs>
          <w:tab w:val="left" w:pos="900"/>
        </w:tabs>
        <w:spacing w:after="40"/>
        <w:jc w:val="left"/>
        <w:rPr>
          <w:rStyle w:val="002ProxyChar"/>
        </w:rPr>
      </w:pPr>
      <w:bookmarkStart w:id="103" w:name="_Toc445739594"/>
      <w:bookmarkStart w:id="104" w:name="_Toc381354152"/>
      <w:r>
        <w:rPr>
          <w:rStyle w:val="002ProxyChar"/>
        </w:rPr>
        <w:lastRenderedPageBreak/>
        <w:t xml:space="preserve">Compensation </w:t>
      </w:r>
      <w:r w:rsidR="00BF7BD3">
        <w:rPr>
          <w:rStyle w:val="002ProxyChar"/>
        </w:rPr>
        <w:t>&amp; Stock</w:t>
      </w:r>
      <w:r>
        <w:rPr>
          <w:rStyle w:val="002ProxyChar"/>
        </w:rPr>
        <w:t xml:space="preserve"> Tables</w:t>
      </w:r>
      <w:r w:rsidRPr="00C12BAD">
        <w:rPr>
          <w:rStyle w:val="002ProxyChar"/>
          <w:b w:val="0"/>
        </w:rPr>
        <w:t>.</w:t>
      </w:r>
      <w:bookmarkEnd w:id="103"/>
      <w:r>
        <w:rPr>
          <w:rStyle w:val="002ProxyChar"/>
        </w:rPr>
        <w:t xml:space="preserve">  </w:t>
      </w:r>
    </w:p>
    <w:p w:rsidR="00E1407C" w:rsidRDefault="007A6E5A" w:rsidP="00E1407C">
      <w:pPr>
        <w:keepNext/>
        <w:widowControl/>
        <w:tabs>
          <w:tab w:val="left" w:pos="900"/>
        </w:tabs>
        <w:spacing w:after="60"/>
        <w:jc w:val="left"/>
      </w:pPr>
      <w:bookmarkStart w:id="105" w:name="_Toc445739595"/>
      <w:r w:rsidRPr="00C12BAD">
        <w:rPr>
          <w:rStyle w:val="003ProxyChar"/>
        </w:rPr>
        <w:t>Summary Compensation Table for 201</w:t>
      </w:r>
      <w:bookmarkEnd w:id="104"/>
      <w:r w:rsidR="00932D7B">
        <w:rPr>
          <w:rStyle w:val="003ProxyChar"/>
        </w:rPr>
        <w:t>5</w:t>
      </w:r>
      <w:bookmarkEnd w:id="105"/>
      <w:r>
        <w:t xml:space="preserve">.  </w:t>
      </w:r>
      <w:r w:rsidR="001C41B2">
        <w:t xml:space="preserve">The following table sets forth </w:t>
      </w:r>
      <w:r w:rsidR="009D20D4">
        <w:t>for calendar years 201</w:t>
      </w:r>
      <w:r w:rsidR="00932D7B">
        <w:t>3</w:t>
      </w:r>
      <w:r w:rsidR="009D20D4">
        <w:t>, 201</w:t>
      </w:r>
      <w:r w:rsidR="00932D7B">
        <w:t>4</w:t>
      </w:r>
      <w:r w:rsidR="009D20D4">
        <w:t xml:space="preserve"> and 201</w:t>
      </w:r>
      <w:r w:rsidR="00932D7B">
        <w:t>5</w:t>
      </w:r>
      <w:r w:rsidR="009D20D4">
        <w:t xml:space="preserve">, </w:t>
      </w:r>
      <w:r w:rsidR="001C41B2">
        <w:t xml:space="preserve">all compensation awarded to, earned by, or paid to </w:t>
      </w:r>
      <w:r w:rsidR="00E1407C">
        <w:t>—</w:t>
      </w:r>
    </w:p>
    <w:p w:rsidR="00E1407C" w:rsidRDefault="00E1407C" w:rsidP="00E1407C">
      <w:pPr>
        <w:keepNext/>
        <w:widowControl/>
        <w:tabs>
          <w:tab w:val="left" w:pos="900"/>
        </w:tabs>
        <w:spacing w:after="60"/>
        <w:ind w:left="720"/>
        <w:jc w:val="left"/>
      </w:pPr>
      <w:r>
        <w:t>All individuals who served as the Company's principal executive officer during 2015;</w:t>
      </w:r>
    </w:p>
    <w:p w:rsidR="00E1407C" w:rsidRDefault="00E1407C" w:rsidP="00E1407C">
      <w:pPr>
        <w:keepNext/>
        <w:widowControl/>
        <w:tabs>
          <w:tab w:val="left" w:pos="900"/>
        </w:tabs>
        <w:spacing w:after="60"/>
        <w:ind w:left="720"/>
        <w:jc w:val="left"/>
      </w:pPr>
      <w:r>
        <w:t>All individuals who served as the Company's principal financial officer during 2015; and</w:t>
      </w:r>
    </w:p>
    <w:p w:rsidR="001C41B2" w:rsidRDefault="00E1407C" w:rsidP="00E1407C">
      <w:pPr>
        <w:keepNext/>
        <w:widowControl/>
        <w:tabs>
          <w:tab w:val="left" w:pos="900"/>
        </w:tabs>
        <w:spacing w:after="60"/>
        <w:ind w:left="720"/>
        <w:jc w:val="left"/>
      </w:pPr>
      <w:r>
        <w:t xml:space="preserve">The Company's three most highly compensated executive officers other than </w:t>
      </w:r>
      <w:r w:rsidR="00DE75B8">
        <w:t xml:space="preserve">those falling into the above </w:t>
      </w:r>
      <w:r>
        <w:t xml:space="preserve">two </w:t>
      </w:r>
      <w:r w:rsidR="00DE75B8">
        <w:t xml:space="preserve">categories </w:t>
      </w:r>
      <w:r>
        <w:t>who were serving as executive officers at December 31, 2015.</w:t>
      </w:r>
      <w:r w:rsidR="009437EF">
        <w:t xml:space="preserve">  </w:t>
      </w:r>
      <w:r w:rsidR="00694AB4">
        <w:t xml:space="preserve">At that date, </w:t>
      </w:r>
      <w:r w:rsidR="009437EF">
        <w:t>the Company ha</w:t>
      </w:r>
      <w:r w:rsidR="00694AB4">
        <w:t>d</w:t>
      </w:r>
      <w:r w:rsidR="009437EF">
        <w:t xml:space="preserve"> </w:t>
      </w:r>
      <w:r w:rsidR="00694AB4">
        <w:t xml:space="preserve">a total of </w:t>
      </w:r>
      <w:r w:rsidR="009437EF">
        <w:t>only three executive officers</w:t>
      </w:r>
      <w:r w:rsidR="00694AB4">
        <w:t xml:space="preserve"> serving</w:t>
      </w:r>
      <w:r w:rsidR="009437EF">
        <w:t xml:space="preserve">.  </w:t>
      </w:r>
      <w:r w:rsidR="00FB18B6">
        <w:t>Messrs. MacKenna and Wright left the Company in January and July, 2015, respectively.</w:t>
      </w:r>
    </w:p>
    <w:p w:rsidR="000A204C" w:rsidRDefault="001C41B2" w:rsidP="002D09BA">
      <w:pPr>
        <w:widowControl/>
        <w:tabs>
          <w:tab w:val="left" w:pos="900"/>
        </w:tabs>
        <w:spacing w:after="240"/>
        <w:jc w:val="left"/>
      </w:pPr>
      <w:r>
        <w:t xml:space="preserve">The Company does not pay any additional compensation to any executive officer for serving on the </w:t>
      </w:r>
      <w:r w:rsidR="003E4F63">
        <w:t>Board of Directors</w:t>
      </w:r>
      <w:r>
        <w:t xml:space="preserve">.  The amounts include any compensation that was deferred by the executive through contributions to </w:t>
      </w:r>
      <w:r w:rsidR="00720DA8">
        <w:t>a</w:t>
      </w:r>
      <w:r>
        <w:t xml:space="preserve"> defined contribution plan account under Section 401(k) of the Internal Revenue Code.  All dollar amounts are rounded to the nearest dollar.  </w:t>
      </w:r>
    </w:p>
    <w:tbl>
      <w:tblPr>
        <w:tblStyle w:val="TableGrid"/>
        <w:tblW w:w="9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799"/>
        <w:gridCol w:w="981"/>
        <w:gridCol w:w="981"/>
        <w:gridCol w:w="985"/>
        <w:gridCol w:w="1210"/>
        <w:gridCol w:w="950"/>
        <w:gridCol w:w="950"/>
      </w:tblGrid>
      <w:tr w:rsidR="0018342A" w:rsidTr="009C72F2">
        <w:trPr>
          <w:cantSplit/>
          <w:tblHeader/>
        </w:trPr>
        <w:tc>
          <w:tcPr>
            <w:tcW w:w="2309" w:type="dxa"/>
            <w:tcBorders>
              <w:bottom w:val="single" w:sz="4" w:space="0" w:color="auto"/>
            </w:tcBorders>
            <w:tcMar>
              <w:top w:w="58" w:type="dxa"/>
              <w:left w:w="29" w:type="dxa"/>
              <w:right w:w="29" w:type="dxa"/>
            </w:tcMar>
            <w:vAlign w:val="bottom"/>
          </w:tcPr>
          <w:p w:rsidR="00A27F1E" w:rsidRPr="00A27F1E" w:rsidRDefault="00A27F1E" w:rsidP="00E92471">
            <w:pPr>
              <w:widowControl/>
              <w:spacing w:after="0"/>
              <w:jc w:val="center"/>
              <w:rPr>
                <w:b/>
                <w:sz w:val="16"/>
                <w:szCs w:val="16"/>
              </w:rPr>
            </w:pPr>
            <w:r w:rsidRPr="00A27F1E">
              <w:rPr>
                <w:b/>
                <w:sz w:val="16"/>
                <w:szCs w:val="16"/>
              </w:rPr>
              <w:t>Name and</w:t>
            </w:r>
          </w:p>
          <w:p w:rsidR="00A27F1E" w:rsidRPr="006F1F59" w:rsidRDefault="00A27F1E" w:rsidP="00E92471">
            <w:pPr>
              <w:widowControl/>
              <w:spacing w:after="0"/>
              <w:jc w:val="center"/>
              <w:rPr>
                <w:sz w:val="16"/>
                <w:szCs w:val="16"/>
              </w:rPr>
            </w:pPr>
            <w:r w:rsidRPr="00A27F1E">
              <w:rPr>
                <w:b/>
                <w:sz w:val="16"/>
                <w:szCs w:val="16"/>
              </w:rPr>
              <w:t>Principal Position</w:t>
            </w:r>
          </w:p>
        </w:tc>
        <w:tc>
          <w:tcPr>
            <w:tcW w:w="799"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Year</w:t>
            </w:r>
          </w:p>
        </w:tc>
        <w:tc>
          <w:tcPr>
            <w:tcW w:w="981"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Salary</w:t>
            </w:r>
          </w:p>
          <w:p w:rsidR="00A27F1E" w:rsidRPr="006F1F59" w:rsidRDefault="008030C3" w:rsidP="00E92471">
            <w:pPr>
              <w:widowControl/>
              <w:spacing w:after="0"/>
              <w:jc w:val="center"/>
              <w:rPr>
                <w:b/>
                <w:sz w:val="16"/>
                <w:szCs w:val="16"/>
              </w:rPr>
            </w:pPr>
            <w:r>
              <w:rPr>
                <w:b/>
                <w:sz w:val="16"/>
                <w:szCs w:val="16"/>
              </w:rPr>
              <w:t>($</w:t>
            </w:r>
            <w:r w:rsidR="00A27F1E">
              <w:rPr>
                <w:b/>
                <w:sz w:val="16"/>
                <w:szCs w:val="16"/>
              </w:rPr>
              <w:t>)</w:t>
            </w:r>
          </w:p>
        </w:tc>
        <w:tc>
          <w:tcPr>
            <w:tcW w:w="981"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Bonus</w:t>
            </w:r>
          </w:p>
          <w:p w:rsidR="00A27F1E" w:rsidRPr="006F1F59" w:rsidRDefault="00A27F1E" w:rsidP="00E92471">
            <w:pPr>
              <w:widowControl/>
              <w:spacing w:after="0"/>
              <w:jc w:val="center"/>
              <w:rPr>
                <w:b/>
                <w:sz w:val="16"/>
                <w:szCs w:val="16"/>
              </w:rPr>
            </w:pPr>
            <w:r>
              <w:rPr>
                <w:b/>
                <w:sz w:val="16"/>
                <w:szCs w:val="16"/>
              </w:rPr>
              <w:t>($)</w:t>
            </w:r>
          </w:p>
        </w:tc>
        <w:tc>
          <w:tcPr>
            <w:tcW w:w="985" w:type="dxa"/>
            <w:tcBorders>
              <w:bottom w:val="single" w:sz="4" w:space="0" w:color="auto"/>
            </w:tcBorders>
            <w:tcMar>
              <w:top w:w="58" w:type="dxa"/>
              <w:left w:w="29" w:type="dxa"/>
              <w:right w:w="29" w:type="dxa"/>
            </w:tcMar>
            <w:vAlign w:val="bottom"/>
          </w:tcPr>
          <w:p w:rsidR="001B1BFC" w:rsidRDefault="00A27F1E" w:rsidP="00E92471">
            <w:pPr>
              <w:widowControl/>
              <w:spacing w:after="0"/>
              <w:jc w:val="center"/>
              <w:rPr>
                <w:b/>
                <w:sz w:val="16"/>
                <w:szCs w:val="16"/>
              </w:rPr>
            </w:pPr>
            <w:r w:rsidRPr="006F1F59">
              <w:rPr>
                <w:b/>
                <w:sz w:val="16"/>
                <w:szCs w:val="16"/>
              </w:rPr>
              <w:t>Stock Awards</w:t>
            </w:r>
          </w:p>
          <w:p w:rsidR="00A27F1E" w:rsidRPr="009D45AA" w:rsidRDefault="00A27F1E" w:rsidP="00E92471">
            <w:pPr>
              <w:widowControl/>
              <w:spacing w:after="0"/>
              <w:jc w:val="center"/>
              <w:rPr>
                <w:b/>
                <w:i/>
                <w:sz w:val="16"/>
                <w:szCs w:val="16"/>
              </w:rPr>
            </w:pPr>
            <w:r w:rsidRPr="009D45AA">
              <w:rPr>
                <w:b/>
                <w:i/>
                <w:sz w:val="16"/>
                <w:szCs w:val="16"/>
              </w:rPr>
              <w:t>(</w:t>
            </w:r>
            <w:r w:rsidR="000A204C">
              <w:rPr>
                <w:b/>
                <w:i/>
                <w:sz w:val="16"/>
                <w:szCs w:val="16"/>
              </w:rPr>
              <w:t>1</w:t>
            </w:r>
            <w:r w:rsidRPr="009D45AA">
              <w:rPr>
                <w:b/>
                <w:i/>
                <w:sz w:val="16"/>
                <w:szCs w:val="16"/>
              </w:rPr>
              <w:t>)</w:t>
            </w:r>
          </w:p>
          <w:p w:rsidR="00A27F1E" w:rsidRPr="006F1F59" w:rsidRDefault="00A27F1E" w:rsidP="00E92471">
            <w:pPr>
              <w:widowControl/>
              <w:spacing w:after="0"/>
              <w:jc w:val="center"/>
              <w:rPr>
                <w:b/>
                <w:sz w:val="16"/>
                <w:szCs w:val="16"/>
              </w:rPr>
            </w:pPr>
            <w:r w:rsidRPr="006F1F59">
              <w:rPr>
                <w:b/>
                <w:sz w:val="16"/>
                <w:szCs w:val="16"/>
              </w:rPr>
              <w:t>($)</w:t>
            </w:r>
          </w:p>
        </w:tc>
        <w:tc>
          <w:tcPr>
            <w:tcW w:w="1210"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Non-Equity</w:t>
            </w:r>
          </w:p>
          <w:p w:rsidR="00A27F1E" w:rsidRPr="006F1F59" w:rsidRDefault="00A27F1E" w:rsidP="00E92471">
            <w:pPr>
              <w:widowControl/>
              <w:spacing w:after="0"/>
              <w:jc w:val="center"/>
              <w:rPr>
                <w:b/>
                <w:sz w:val="16"/>
                <w:szCs w:val="16"/>
              </w:rPr>
            </w:pPr>
            <w:r w:rsidRPr="006F1F59">
              <w:rPr>
                <w:b/>
                <w:sz w:val="16"/>
                <w:szCs w:val="16"/>
              </w:rPr>
              <w:t>Incentive Plan</w:t>
            </w:r>
          </w:p>
          <w:p w:rsidR="00A27F1E" w:rsidRPr="006F1F59" w:rsidRDefault="00A27F1E" w:rsidP="00E92471">
            <w:pPr>
              <w:widowControl/>
              <w:spacing w:after="0"/>
              <w:jc w:val="center"/>
              <w:rPr>
                <w:b/>
                <w:sz w:val="16"/>
                <w:szCs w:val="16"/>
              </w:rPr>
            </w:pPr>
            <w:r w:rsidRPr="006F1F59">
              <w:rPr>
                <w:b/>
                <w:sz w:val="16"/>
                <w:szCs w:val="16"/>
              </w:rPr>
              <w:t>Compensation</w:t>
            </w:r>
          </w:p>
          <w:p w:rsidR="00A27F1E" w:rsidRPr="006F1F59" w:rsidRDefault="00A27F1E" w:rsidP="00E92471">
            <w:pPr>
              <w:widowControl/>
              <w:spacing w:after="0"/>
              <w:jc w:val="center"/>
              <w:rPr>
                <w:b/>
                <w:sz w:val="16"/>
                <w:szCs w:val="16"/>
              </w:rPr>
            </w:pPr>
            <w:r w:rsidRPr="006F1F59">
              <w:rPr>
                <w:b/>
                <w:sz w:val="16"/>
                <w:szCs w:val="16"/>
              </w:rPr>
              <w:t>($)</w:t>
            </w:r>
          </w:p>
        </w:tc>
        <w:tc>
          <w:tcPr>
            <w:tcW w:w="950" w:type="dxa"/>
            <w:tcBorders>
              <w:bottom w:val="single" w:sz="4" w:space="0" w:color="auto"/>
            </w:tcBorders>
            <w:tcMar>
              <w:top w:w="58" w:type="dxa"/>
              <w:left w:w="29" w:type="dxa"/>
              <w:right w:w="29" w:type="dxa"/>
            </w:tcMar>
            <w:vAlign w:val="bottom"/>
          </w:tcPr>
          <w:p w:rsidR="00A27F1E" w:rsidRPr="006F1F59" w:rsidRDefault="00A27F1E" w:rsidP="00E92471">
            <w:pPr>
              <w:widowControl/>
              <w:spacing w:after="0"/>
              <w:jc w:val="center"/>
              <w:rPr>
                <w:b/>
                <w:sz w:val="16"/>
                <w:szCs w:val="16"/>
              </w:rPr>
            </w:pPr>
            <w:r w:rsidRPr="006F1F59">
              <w:rPr>
                <w:b/>
                <w:sz w:val="16"/>
                <w:szCs w:val="16"/>
              </w:rPr>
              <w:t>All Other</w:t>
            </w:r>
          </w:p>
          <w:p w:rsidR="001B1BFC" w:rsidRDefault="00A27F1E" w:rsidP="00E92471">
            <w:pPr>
              <w:widowControl/>
              <w:spacing w:after="0"/>
              <w:jc w:val="center"/>
              <w:rPr>
                <w:b/>
                <w:sz w:val="16"/>
                <w:szCs w:val="16"/>
              </w:rPr>
            </w:pPr>
            <w:proofErr w:type="spellStart"/>
            <w:r w:rsidRPr="006F1F59">
              <w:rPr>
                <w:b/>
                <w:sz w:val="16"/>
                <w:szCs w:val="16"/>
              </w:rPr>
              <w:t>Compen-sation</w:t>
            </w:r>
            <w:proofErr w:type="spellEnd"/>
          </w:p>
          <w:p w:rsidR="00A27F1E" w:rsidRPr="009D45AA" w:rsidRDefault="00A27F1E" w:rsidP="00E92471">
            <w:pPr>
              <w:widowControl/>
              <w:spacing w:after="0"/>
              <w:jc w:val="center"/>
              <w:rPr>
                <w:b/>
                <w:i/>
                <w:sz w:val="16"/>
                <w:szCs w:val="16"/>
              </w:rPr>
            </w:pPr>
            <w:r w:rsidRPr="009D45AA">
              <w:rPr>
                <w:b/>
                <w:i/>
                <w:sz w:val="16"/>
                <w:szCs w:val="16"/>
              </w:rPr>
              <w:t>(</w:t>
            </w:r>
            <w:r w:rsidR="000A204C">
              <w:rPr>
                <w:b/>
                <w:i/>
                <w:sz w:val="16"/>
                <w:szCs w:val="16"/>
              </w:rPr>
              <w:t>2</w:t>
            </w:r>
            <w:r w:rsidRPr="009D45AA">
              <w:rPr>
                <w:b/>
                <w:i/>
                <w:sz w:val="16"/>
                <w:szCs w:val="16"/>
              </w:rPr>
              <w:t>)</w:t>
            </w:r>
          </w:p>
          <w:p w:rsidR="00A27F1E" w:rsidRPr="006F1F59" w:rsidRDefault="00A27F1E" w:rsidP="00E92471">
            <w:pPr>
              <w:widowControl/>
              <w:spacing w:after="0"/>
              <w:jc w:val="center"/>
              <w:rPr>
                <w:b/>
                <w:sz w:val="16"/>
                <w:szCs w:val="16"/>
              </w:rPr>
            </w:pPr>
            <w:r w:rsidRPr="006F1F59">
              <w:rPr>
                <w:b/>
                <w:sz w:val="16"/>
                <w:szCs w:val="16"/>
              </w:rPr>
              <w:t>($)</w:t>
            </w:r>
          </w:p>
        </w:tc>
        <w:tc>
          <w:tcPr>
            <w:tcW w:w="950" w:type="dxa"/>
            <w:tcBorders>
              <w:bottom w:val="single" w:sz="4" w:space="0" w:color="auto"/>
            </w:tcBorders>
            <w:tcMar>
              <w:top w:w="58" w:type="dxa"/>
              <w:left w:w="29" w:type="dxa"/>
              <w:right w:w="29" w:type="dxa"/>
            </w:tcMar>
            <w:vAlign w:val="bottom"/>
          </w:tcPr>
          <w:p w:rsidR="00A27F1E" w:rsidRDefault="00A27F1E" w:rsidP="00E92471">
            <w:pPr>
              <w:widowControl/>
              <w:spacing w:after="0"/>
              <w:jc w:val="center"/>
              <w:rPr>
                <w:b/>
                <w:sz w:val="16"/>
                <w:szCs w:val="16"/>
              </w:rPr>
            </w:pPr>
            <w:r>
              <w:rPr>
                <w:b/>
                <w:sz w:val="16"/>
                <w:szCs w:val="16"/>
              </w:rPr>
              <w:t>Total</w:t>
            </w:r>
          </w:p>
          <w:p w:rsidR="00A27F1E" w:rsidRPr="006F1F59" w:rsidRDefault="00A27F1E" w:rsidP="00E92471">
            <w:pPr>
              <w:widowControl/>
              <w:spacing w:after="0"/>
              <w:jc w:val="center"/>
              <w:rPr>
                <w:b/>
                <w:sz w:val="16"/>
                <w:szCs w:val="16"/>
              </w:rPr>
            </w:pPr>
            <w:r>
              <w:rPr>
                <w:b/>
                <w:sz w:val="16"/>
                <w:szCs w:val="16"/>
              </w:rPr>
              <w:t>($)</w:t>
            </w:r>
          </w:p>
        </w:tc>
      </w:tr>
      <w:tr w:rsidR="00C60C82" w:rsidTr="00AE3561">
        <w:tc>
          <w:tcPr>
            <w:tcW w:w="2309" w:type="dxa"/>
            <w:tcBorders>
              <w:top w:val="single" w:sz="4" w:space="0" w:color="auto"/>
            </w:tcBorders>
            <w:shd w:val="clear" w:color="auto" w:fill="C6D9F1" w:themeFill="text2" w:themeFillTint="33"/>
            <w:tcMar>
              <w:top w:w="58" w:type="dxa"/>
              <w:left w:w="115" w:type="dxa"/>
              <w:bottom w:w="58" w:type="dxa"/>
              <w:right w:w="115" w:type="dxa"/>
            </w:tcMar>
          </w:tcPr>
          <w:p w:rsidR="00C60C82" w:rsidRDefault="00524A26" w:rsidP="000D0AFE">
            <w:pPr>
              <w:widowControl/>
              <w:tabs>
                <w:tab w:val="left" w:pos="900"/>
              </w:tabs>
              <w:spacing w:after="0"/>
              <w:jc w:val="left"/>
              <w:rPr>
                <w:sz w:val="18"/>
                <w:szCs w:val="18"/>
              </w:rPr>
            </w:pPr>
            <w:r>
              <w:rPr>
                <w:sz w:val="18"/>
                <w:szCs w:val="18"/>
              </w:rPr>
              <w:t>Paul J. Varello</w:t>
            </w:r>
            <w:r w:rsidR="000A204C">
              <w:rPr>
                <w:sz w:val="18"/>
                <w:szCs w:val="18"/>
              </w:rPr>
              <w:t xml:space="preserve"> </w:t>
            </w:r>
            <w:r w:rsidR="000A204C">
              <w:rPr>
                <w:sz w:val="18"/>
                <w:szCs w:val="18"/>
                <w:vertAlign w:val="superscript"/>
              </w:rPr>
              <w:t>(3</w:t>
            </w:r>
            <w:r w:rsidR="000A204C" w:rsidRPr="00643BF3">
              <w:rPr>
                <w:sz w:val="18"/>
                <w:szCs w:val="18"/>
                <w:vertAlign w:val="superscript"/>
              </w:rPr>
              <w:t>)</w:t>
            </w:r>
          </w:p>
          <w:p w:rsidR="00524A26" w:rsidRDefault="00524A26" w:rsidP="000D0AFE">
            <w:pPr>
              <w:widowControl/>
              <w:tabs>
                <w:tab w:val="left" w:pos="900"/>
              </w:tabs>
              <w:spacing w:after="0"/>
              <w:jc w:val="left"/>
              <w:rPr>
                <w:i/>
                <w:sz w:val="18"/>
                <w:szCs w:val="18"/>
              </w:rPr>
            </w:pPr>
            <w:r>
              <w:rPr>
                <w:i/>
                <w:sz w:val="18"/>
                <w:szCs w:val="18"/>
              </w:rPr>
              <w:t xml:space="preserve">Chief Executive Officer </w:t>
            </w:r>
            <w:r w:rsidRPr="00052B45">
              <w:rPr>
                <w:i/>
                <w:sz w:val="18"/>
                <w:szCs w:val="18"/>
              </w:rPr>
              <w:t>(principal executive officer)</w:t>
            </w:r>
          </w:p>
          <w:p w:rsidR="009437EF" w:rsidRPr="009437EF" w:rsidRDefault="009437EF" w:rsidP="000D0AFE">
            <w:pPr>
              <w:widowControl/>
              <w:tabs>
                <w:tab w:val="left" w:pos="900"/>
              </w:tabs>
              <w:spacing w:after="0"/>
              <w:jc w:val="left"/>
              <w:rPr>
                <w:sz w:val="18"/>
                <w:szCs w:val="18"/>
              </w:rPr>
            </w:pPr>
            <w:r>
              <w:rPr>
                <w:sz w:val="18"/>
                <w:szCs w:val="18"/>
              </w:rPr>
              <w:t>Since February 1, 2015</w:t>
            </w:r>
          </w:p>
        </w:tc>
        <w:tc>
          <w:tcPr>
            <w:tcW w:w="799"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236C75" w:rsidP="00E92471">
            <w:pPr>
              <w:keepNext/>
              <w:widowControl/>
              <w:tabs>
                <w:tab w:val="left" w:pos="900"/>
              </w:tabs>
              <w:spacing w:after="0"/>
              <w:jc w:val="center"/>
              <w:rPr>
                <w:sz w:val="18"/>
                <w:szCs w:val="18"/>
              </w:rPr>
            </w:pPr>
            <w:r>
              <w:rPr>
                <w:sz w:val="18"/>
                <w:szCs w:val="18"/>
              </w:rPr>
              <w:t>2015</w:t>
            </w:r>
          </w:p>
        </w:tc>
        <w:tc>
          <w:tcPr>
            <w:tcW w:w="981"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A53D89" w:rsidP="00E92471">
            <w:pPr>
              <w:keepNext/>
              <w:widowControl/>
              <w:tabs>
                <w:tab w:val="left" w:pos="900"/>
              </w:tabs>
              <w:spacing w:after="0"/>
              <w:jc w:val="center"/>
              <w:rPr>
                <w:sz w:val="18"/>
                <w:szCs w:val="18"/>
              </w:rPr>
            </w:pPr>
            <w:r>
              <w:rPr>
                <w:sz w:val="18"/>
                <w:szCs w:val="18"/>
              </w:rPr>
              <w:t>1.00</w:t>
            </w:r>
          </w:p>
        </w:tc>
        <w:tc>
          <w:tcPr>
            <w:tcW w:w="981"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ED1B86" w:rsidP="00E92471">
            <w:pPr>
              <w:keepNext/>
              <w:widowControl/>
              <w:tabs>
                <w:tab w:val="left" w:pos="900"/>
              </w:tabs>
              <w:spacing w:after="0"/>
              <w:jc w:val="center"/>
              <w:rPr>
                <w:sz w:val="18"/>
                <w:szCs w:val="18"/>
              </w:rPr>
            </w:pPr>
            <w:r>
              <w:rPr>
                <w:sz w:val="18"/>
                <w:szCs w:val="18"/>
              </w:rPr>
              <w:t>—</w:t>
            </w:r>
          </w:p>
        </w:tc>
        <w:tc>
          <w:tcPr>
            <w:tcW w:w="985"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ED1B86" w:rsidP="00E92471">
            <w:pPr>
              <w:keepNext/>
              <w:widowControl/>
              <w:tabs>
                <w:tab w:val="left" w:pos="900"/>
              </w:tabs>
              <w:spacing w:after="0"/>
              <w:jc w:val="center"/>
              <w:rPr>
                <w:sz w:val="18"/>
                <w:szCs w:val="18"/>
              </w:rPr>
            </w:pPr>
            <w:r>
              <w:rPr>
                <w:sz w:val="18"/>
                <w:szCs w:val="18"/>
              </w:rPr>
              <w:t>1,932,000</w:t>
            </w:r>
          </w:p>
        </w:tc>
        <w:tc>
          <w:tcPr>
            <w:tcW w:w="1210"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Default="00A53D89" w:rsidP="00E92471">
            <w:pPr>
              <w:keepNext/>
              <w:widowControl/>
              <w:tabs>
                <w:tab w:val="left" w:pos="900"/>
              </w:tabs>
              <w:spacing w:after="0"/>
              <w:jc w:val="center"/>
              <w:rPr>
                <w:sz w:val="18"/>
                <w:szCs w:val="18"/>
              </w:rPr>
            </w:pPr>
            <w:r>
              <w:rPr>
                <w:sz w:val="18"/>
                <w:szCs w:val="18"/>
              </w:rPr>
              <w:t>—</w:t>
            </w:r>
          </w:p>
        </w:tc>
        <w:tc>
          <w:tcPr>
            <w:tcW w:w="950"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0F01C6" w:rsidP="00E92471">
            <w:pPr>
              <w:keepNext/>
              <w:widowControl/>
              <w:tabs>
                <w:tab w:val="left" w:pos="900"/>
              </w:tabs>
              <w:spacing w:after="0"/>
              <w:jc w:val="center"/>
              <w:rPr>
                <w:sz w:val="18"/>
                <w:szCs w:val="18"/>
              </w:rPr>
            </w:pPr>
            <w:r>
              <w:rPr>
                <w:sz w:val="18"/>
                <w:szCs w:val="18"/>
              </w:rPr>
              <w:t>27,342</w:t>
            </w:r>
          </w:p>
        </w:tc>
        <w:tc>
          <w:tcPr>
            <w:tcW w:w="950" w:type="dxa"/>
            <w:tcBorders>
              <w:top w:val="single" w:sz="4" w:space="0" w:color="auto"/>
            </w:tcBorders>
            <w:shd w:val="clear" w:color="auto" w:fill="C6D9F1" w:themeFill="text2" w:themeFillTint="33"/>
            <w:tcMar>
              <w:top w:w="58" w:type="dxa"/>
              <w:left w:w="115" w:type="dxa"/>
              <w:bottom w:w="58" w:type="dxa"/>
              <w:right w:w="115" w:type="dxa"/>
            </w:tcMar>
            <w:vAlign w:val="bottom"/>
          </w:tcPr>
          <w:p w:rsidR="00C60C82" w:rsidRPr="00052B45" w:rsidRDefault="00046B2E" w:rsidP="00E92471">
            <w:pPr>
              <w:keepNext/>
              <w:widowControl/>
              <w:tabs>
                <w:tab w:val="left" w:pos="900"/>
              </w:tabs>
              <w:spacing w:after="0"/>
              <w:jc w:val="center"/>
              <w:rPr>
                <w:sz w:val="18"/>
                <w:szCs w:val="18"/>
              </w:rPr>
            </w:pPr>
            <w:r>
              <w:rPr>
                <w:sz w:val="18"/>
                <w:szCs w:val="18"/>
              </w:rPr>
              <w:t>1,959,343</w:t>
            </w:r>
          </w:p>
        </w:tc>
      </w:tr>
      <w:tr w:rsidR="00C60C82" w:rsidTr="009C72F2">
        <w:tc>
          <w:tcPr>
            <w:tcW w:w="2309" w:type="dxa"/>
            <w:shd w:val="clear" w:color="auto" w:fill="FFFFFF" w:themeFill="background1"/>
            <w:tcMar>
              <w:top w:w="58" w:type="dxa"/>
              <w:left w:w="115" w:type="dxa"/>
              <w:bottom w:w="58" w:type="dxa"/>
              <w:right w:w="115" w:type="dxa"/>
            </w:tcMar>
          </w:tcPr>
          <w:p w:rsidR="00C60C82" w:rsidRDefault="00524A26" w:rsidP="000D0AFE">
            <w:pPr>
              <w:widowControl/>
              <w:tabs>
                <w:tab w:val="left" w:pos="900"/>
              </w:tabs>
              <w:spacing w:after="0"/>
              <w:jc w:val="left"/>
              <w:rPr>
                <w:sz w:val="18"/>
                <w:szCs w:val="18"/>
              </w:rPr>
            </w:pPr>
            <w:r>
              <w:rPr>
                <w:sz w:val="18"/>
                <w:szCs w:val="18"/>
              </w:rPr>
              <w:t>Ronald A. Ballschmiede</w:t>
            </w:r>
            <w:r w:rsidR="000A204C">
              <w:rPr>
                <w:sz w:val="18"/>
                <w:szCs w:val="18"/>
              </w:rPr>
              <w:t xml:space="preserve"> </w:t>
            </w:r>
            <w:r w:rsidR="000A204C" w:rsidRPr="00643BF3">
              <w:rPr>
                <w:sz w:val="18"/>
                <w:szCs w:val="18"/>
                <w:vertAlign w:val="superscript"/>
              </w:rPr>
              <w:t>(</w:t>
            </w:r>
            <w:r w:rsidR="000A204C">
              <w:rPr>
                <w:sz w:val="18"/>
                <w:szCs w:val="18"/>
                <w:vertAlign w:val="superscript"/>
              </w:rPr>
              <w:t>4</w:t>
            </w:r>
            <w:r w:rsidR="000A204C" w:rsidRPr="00643BF3">
              <w:rPr>
                <w:sz w:val="18"/>
                <w:szCs w:val="18"/>
                <w:vertAlign w:val="superscript"/>
              </w:rPr>
              <w:t>)</w:t>
            </w:r>
          </w:p>
          <w:p w:rsidR="008B67E9" w:rsidRPr="00052B45" w:rsidRDefault="003700B6" w:rsidP="008B67E9">
            <w:pPr>
              <w:widowControl/>
              <w:tabs>
                <w:tab w:val="left" w:pos="900"/>
              </w:tabs>
              <w:spacing w:after="0"/>
              <w:jc w:val="left"/>
              <w:rPr>
                <w:i/>
                <w:sz w:val="18"/>
                <w:szCs w:val="18"/>
              </w:rPr>
            </w:pPr>
            <w:r>
              <w:rPr>
                <w:i/>
                <w:sz w:val="18"/>
                <w:szCs w:val="18"/>
              </w:rPr>
              <w:t xml:space="preserve">Executive Vice President &amp; </w:t>
            </w:r>
            <w:r w:rsidR="008B67E9" w:rsidRPr="00052B45">
              <w:rPr>
                <w:i/>
                <w:sz w:val="18"/>
                <w:szCs w:val="18"/>
              </w:rPr>
              <w:t>Chief Financial Officer (principal financial officer)</w:t>
            </w:r>
          </w:p>
          <w:p w:rsidR="008B67E9" w:rsidRPr="00052B45" w:rsidRDefault="008B67E9" w:rsidP="008B67E9">
            <w:pPr>
              <w:widowControl/>
              <w:tabs>
                <w:tab w:val="left" w:pos="900"/>
              </w:tabs>
              <w:spacing w:after="0"/>
              <w:jc w:val="left"/>
              <w:rPr>
                <w:sz w:val="18"/>
                <w:szCs w:val="18"/>
              </w:rPr>
            </w:pPr>
            <w:r>
              <w:rPr>
                <w:sz w:val="18"/>
                <w:szCs w:val="18"/>
              </w:rPr>
              <w:t>Since November 9, 2015</w:t>
            </w:r>
          </w:p>
        </w:tc>
        <w:tc>
          <w:tcPr>
            <w:tcW w:w="799" w:type="dxa"/>
            <w:shd w:val="clear" w:color="auto" w:fill="FFFFFF" w:themeFill="background1"/>
            <w:tcMar>
              <w:top w:w="58" w:type="dxa"/>
              <w:left w:w="115" w:type="dxa"/>
              <w:bottom w:w="58" w:type="dxa"/>
              <w:right w:w="115" w:type="dxa"/>
            </w:tcMar>
            <w:vAlign w:val="bottom"/>
          </w:tcPr>
          <w:p w:rsidR="00C60C82" w:rsidRPr="00052B45" w:rsidRDefault="00236C75" w:rsidP="00E92471">
            <w:pPr>
              <w:keepNext/>
              <w:widowControl/>
              <w:tabs>
                <w:tab w:val="left" w:pos="900"/>
              </w:tabs>
              <w:spacing w:after="0"/>
              <w:jc w:val="center"/>
              <w:rPr>
                <w:sz w:val="18"/>
                <w:szCs w:val="18"/>
              </w:rPr>
            </w:pPr>
            <w:r>
              <w:rPr>
                <w:sz w:val="18"/>
                <w:szCs w:val="18"/>
              </w:rPr>
              <w:t>2015</w:t>
            </w:r>
          </w:p>
        </w:tc>
        <w:tc>
          <w:tcPr>
            <w:tcW w:w="981" w:type="dxa"/>
            <w:shd w:val="clear" w:color="auto" w:fill="FFFFFF" w:themeFill="background1"/>
            <w:tcMar>
              <w:top w:w="58" w:type="dxa"/>
              <w:left w:w="115" w:type="dxa"/>
              <w:bottom w:w="58" w:type="dxa"/>
              <w:right w:w="115" w:type="dxa"/>
            </w:tcMar>
            <w:vAlign w:val="bottom"/>
          </w:tcPr>
          <w:p w:rsidR="00C60C82" w:rsidRPr="00052B45" w:rsidRDefault="00F566AC" w:rsidP="00E92471">
            <w:pPr>
              <w:keepNext/>
              <w:widowControl/>
              <w:tabs>
                <w:tab w:val="left" w:pos="900"/>
              </w:tabs>
              <w:spacing w:after="0"/>
              <w:jc w:val="center"/>
              <w:rPr>
                <w:sz w:val="18"/>
                <w:szCs w:val="18"/>
              </w:rPr>
            </w:pPr>
            <w:r>
              <w:rPr>
                <w:sz w:val="18"/>
                <w:szCs w:val="18"/>
              </w:rPr>
              <w:t>60,000</w:t>
            </w:r>
          </w:p>
        </w:tc>
        <w:tc>
          <w:tcPr>
            <w:tcW w:w="981" w:type="dxa"/>
            <w:shd w:val="clear" w:color="auto" w:fill="FFFFFF" w:themeFill="background1"/>
            <w:tcMar>
              <w:top w:w="58" w:type="dxa"/>
              <w:left w:w="115" w:type="dxa"/>
              <w:bottom w:w="58" w:type="dxa"/>
              <w:right w:w="115" w:type="dxa"/>
            </w:tcMar>
            <w:vAlign w:val="bottom"/>
          </w:tcPr>
          <w:p w:rsidR="00C60C82" w:rsidRPr="00052B45" w:rsidRDefault="00A53D89" w:rsidP="00E92471">
            <w:pPr>
              <w:keepNext/>
              <w:widowControl/>
              <w:tabs>
                <w:tab w:val="left" w:pos="900"/>
              </w:tabs>
              <w:spacing w:after="0"/>
              <w:jc w:val="center"/>
              <w:rPr>
                <w:sz w:val="18"/>
                <w:szCs w:val="18"/>
              </w:rPr>
            </w:pPr>
            <w:r>
              <w:rPr>
                <w:sz w:val="18"/>
                <w:szCs w:val="18"/>
              </w:rPr>
              <w:t>—</w:t>
            </w:r>
          </w:p>
        </w:tc>
        <w:tc>
          <w:tcPr>
            <w:tcW w:w="985" w:type="dxa"/>
            <w:shd w:val="clear" w:color="auto" w:fill="FFFFFF" w:themeFill="background1"/>
            <w:tcMar>
              <w:top w:w="58" w:type="dxa"/>
              <w:left w:w="115" w:type="dxa"/>
              <w:bottom w:w="58" w:type="dxa"/>
              <w:right w:w="115" w:type="dxa"/>
            </w:tcMar>
            <w:vAlign w:val="bottom"/>
          </w:tcPr>
          <w:p w:rsidR="00C60C82" w:rsidRPr="00052B45" w:rsidRDefault="000F4BD5" w:rsidP="000F4BD5">
            <w:pPr>
              <w:keepNext/>
              <w:widowControl/>
              <w:tabs>
                <w:tab w:val="left" w:pos="900"/>
              </w:tabs>
              <w:spacing w:after="0"/>
              <w:jc w:val="center"/>
              <w:rPr>
                <w:sz w:val="18"/>
                <w:szCs w:val="18"/>
              </w:rPr>
            </w:pPr>
            <w:r>
              <w:rPr>
                <w:sz w:val="18"/>
                <w:szCs w:val="18"/>
              </w:rPr>
              <w:t>467,000</w:t>
            </w:r>
          </w:p>
        </w:tc>
        <w:tc>
          <w:tcPr>
            <w:tcW w:w="1210" w:type="dxa"/>
            <w:shd w:val="clear" w:color="auto" w:fill="FFFFFF" w:themeFill="background1"/>
            <w:tcMar>
              <w:top w:w="58" w:type="dxa"/>
              <w:left w:w="115" w:type="dxa"/>
              <w:bottom w:w="58" w:type="dxa"/>
              <w:right w:w="115" w:type="dxa"/>
            </w:tcMar>
            <w:vAlign w:val="bottom"/>
          </w:tcPr>
          <w:p w:rsidR="00C60C82" w:rsidRDefault="009B3701" w:rsidP="00E92471">
            <w:pPr>
              <w:keepNext/>
              <w:widowControl/>
              <w:tabs>
                <w:tab w:val="left" w:pos="900"/>
              </w:tabs>
              <w:spacing w:after="0"/>
              <w:jc w:val="center"/>
              <w:rPr>
                <w:sz w:val="18"/>
                <w:szCs w:val="18"/>
              </w:rPr>
            </w:pPr>
            <w:r>
              <w:rPr>
                <w:sz w:val="18"/>
                <w:szCs w:val="18"/>
              </w:rPr>
              <w:t>—</w:t>
            </w:r>
          </w:p>
        </w:tc>
        <w:tc>
          <w:tcPr>
            <w:tcW w:w="950" w:type="dxa"/>
            <w:shd w:val="clear" w:color="auto" w:fill="FFFFFF" w:themeFill="background1"/>
            <w:tcMar>
              <w:top w:w="58" w:type="dxa"/>
              <w:left w:w="115" w:type="dxa"/>
              <w:bottom w:w="58" w:type="dxa"/>
              <w:right w:w="115" w:type="dxa"/>
            </w:tcMar>
            <w:vAlign w:val="bottom"/>
          </w:tcPr>
          <w:p w:rsidR="00C60C82" w:rsidRPr="00052B45" w:rsidRDefault="00370200" w:rsidP="00E92471">
            <w:pPr>
              <w:keepNext/>
              <w:widowControl/>
              <w:tabs>
                <w:tab w:val="left" w:pos="900"/>
              </w:tabs>
              <w:spacing w:after="0"/>
              <w:jc w:val="center"/>
              <w:rPr>
                <w:sz w:val="18"/>
                <w:szCs w:val="18"/>
              </w:rPr>
            </w:pPr>
            <w:r>
              <w:rPr>
                <w:sz w:val="18"/>
                <w:szCs w:val="18"/>
              </w:rPr>
              <w:t>$97,809</w:t>
            </w:r>
          </w:p>
        </w:tc>
        <w:tc>
          <w:tcPr>
            <w:tcW w:w="950" w:type="dxa"/>
            <w:shd w:val="clear" w:color="auto" w:fill="FFFFFF" w:themeFill="background1"/>
            <w:tcMar>
              <w:top w:w="58" w:type="dxa"/>
              <w:left w:w="115" w:type="dxa"/>
              <w:bottom w:w="58" w:type="dxa"/>
              <w:right w:w="115" w:type="dxa"/>
            </w:tcMar>
            <w:vAlign w:val="bottom"/>
          </w:tcPr>
          <w:p w:rsidR="00370200" w:rsidRPr="00052B45" w:rsidRDefault="00370200" w:rsidP="00370200">
            <w:pPr>
              <w:keepNext/>
              <w:widowControl/>
              <w:tabs>
                <w:tab w:val="left" w:pos="900"/>
              </w:tabs>
              <w:spacing w:after="0"/>
              <w:jc w:val="center"/>
              <w:rPr>
                <w:sz w:val="18"/>
                <w:szCs w:val="18"/>
              </w:rPr>
            </w:pPr>
            <w:r>
              <w:rPr>
                <w:sz w:val="18"/>
                <w:szCs w:val="18"/>
              </w:rPr>
              <w:t>624,809</w:t>
            </w:r>
          </w:p>
        </w:tc>
      </w:tr>
      <w:tr w:rsidR="00C60C82" w:rsidTr="00AE3561">
        <w:tc>
          <w:tcPr>
            <w:tcW w:w="2309" w:type="dxa"/>
            <w:shd w:val="clear" w:color="auto" w:fill="C6D9F1" w:themeFill="text2" w:themeFillTint="33"/>
            <w:tcMar>
              <w:top w:w="58" w:type="dxa"/>
              <w:left w:w="115" w:type="dxa"/>
              <w:bottom w:w="58" w:type="dxa"/>
              <w:right w:w="115" w:type="dxa"/>
            </w:tcMar>
          </w:tcPr>
          <w:p w:rsidR="00C60C82" w:rsidRDefault="00524A26" w:rsidP="000D0AFE">
            <w:pPr>
              <w:widowControl/>
              <w:tabs>
                <w:tab w:val="left" w:pos="900"/>
              </w:tabs>
              <w:spacing w:after="0"/>
              <w:jc w:val="left"/>
              <w:rPr>
                <w:sz w:val="18"/>
                <w:szCs w:val="18"/>
              </w:rPr>
            </w:pPr>
            <w:r>
              <w:rPr>
                <w:sz w:val="18"/>
                <w:szCs w:val="18"/>
              </w:rPr>
              <w:t>Roger M. Barzun</w:t>
            </w:r>
            <w:r w:rsidR="00643BF3">
              <w:rPr>
                <w:sz w:val="18"/>
                <w:szCs w:val="18"/>
              </w:rPr>
              <w:t xml:space="preserve"> </w:t>
            </w:r>
            <w:r w:rsidR="00643BF3" w:rsidRPr="00643BF3">
              <w:rPr>
                <w:sz w:val="18"/>
                <w:szCs w:val="18"/>
                <w:vertAlign w:val="superscript"/>
              </w:rPr>
              <w:t>(5)</w:t>
            </w:r>
          </w:p>
          <w:p w:rsidR="009437EF" w:rsidRPr="00236C75" w:rsidRDefault="00236C75" w:rsidP="000D0AFE">
            <w:pPr>
              <w:widowControl/>
              <w:tabs>
                <w:tab w:val="left" w:pos="900"/>
              </w:tabs>
              <w:spacing w:after="0"/>
              <w:jc w:val="left"/>
              <w:rPr>
                <w:i/>
                <w:sz w:val="18"/>
                <w:szCs w:val="18"/>
              </w:rPr>
            </w:pPr>
            <w:r>
              <w:rPr>
                <w:i/>
                <w:sz w:val="18"/>
                <w:szCs w:val="18"/>
              </w:rPr>
              <w:t>Senior Vice President &amp; General Counsel, Secretary</w:t>
            </w:r>
          </w:p>
        </w:tc>
        <w:tc>
          <w:tcPr>
            <w:tcW w:w="799" w:type="dxa"/>
            <w:shd w:val="clear" w:color="auto" w:fill="C6D9F1" w:themeFill="text2" w:themeFillTint="33"/>
            <w:tcMar>
              <w:top w:w="58" w:type="dxa"/>
              <w:left w:w="115" w:type="dxa"/>
              <w:bottom w:w="58" w:type="dxa"/>
              <w:right w:w="115" w:type="dxa"/>
            </w:tcMar>
            <w:vAlign w:val="bottom"/>
          </w:tcPr>
          <w:p w:rsidR="00236C75" w:rsidRDefault="00236C75" w:rsidP="00236C75">
            <w:pPr>
              <w:keepNext/>
              <w:widowControl/>
              <w:tabs>
                <w:tab w:val="left" w:pos="900"/>
              </w:tabs>
              <w:spacing w:after="0"/>
              <w:jc w:val="center"/>
              <w:rPr>
                <w:sz w:val="18"/>
                <w:szCs w:val="18"/>
              </w:rPr>
            </w:pPr>
            <w:r w:rsidRPr="00052B45">
              <w:rPr>
                <w:sz w:val="18"/>
                <w:szCs w:val="18"/>
              </w:rPr>
              <w:t>2013</w:t>
            </w:r>
          </w:p>
          <w:p w:rsidR="00C60C82" w:rsidRDefault="00236C75" w:rsidP="00236C75">
            <w:pPr>
              <w:keepNext/>
              <w:widowControl/>
              <w:tabs>
                <w:tab w:val="left" w:pos="900"/>
              </w:tabs>
              <w:spacing w:after="0"/>
              <w:jc w:val="center"/>
              <w:rPr>
                <w:sz w:val="18"/>
                <w:szCs w:val="18"/>
              </w:rPr>
            </w:pPr>
            <w:r>
              <w:rPr>
                <w:sz w:val="18"/>
                <w:szCs w:val="18"/>
              </w:rPr>
              <w:t>2014</w:t>
            </w:r>
          </w:p>
          <w:p w:rsidR="00236C75" w:rsidRPr="00052B45" w:rsidRDefault="00236C75" w:rsidP="00236C75">
            <w:pPr>
              <w:keepNext/>
              <w:widowControl/>
              <w:tabs>
                <w:tab w:val="left" w:pos="900"/>
              </w:tabs>
              <w:spacing w:after="0"/>
              <w:jc w:val="center"/>
              <w:rPr>
                <w:sz w:val="18"/>
                <w:szCs w:val="18"/>
              </w:rPr>
            </w:pPr>
            <w:r>
              <w:rPr>
                <w:sz w:val="18"/>
                <w:szCs w:val="18"/>
              </w:rPr>
              <w:t>2015</w:t>
            </w:r>
          </w:p>
        </w:tc>
        <w:tc>
          <w:tcPr>
            <w:tcW w:w="981" w:type="dxa"/>
            <w:shd w:val="clear" w:color="auto" w:fill="C6D9F1" w:themeFill="text2" w:themeFillTint="33"/>
            <w:tcMar>
              <w:top w:w="58" w:type="dxa"/>
              <w:left w:w="115" w:type="dxa"/>
              <w:bottom w:w="58" w:type="dxa"/>
              <w:right w:w="115" w:type="dxa"/>
            </w:tcMar>
            <w:vAlign w:val="bottom"/>
          </w:tcPr>
          <w:p w:rsidR="00C60C82" w:rsidRDefault="00643BF3" w:rsidP="00E92471">
            <w:pPr>
              <w:keepNext/>
              <w:widowControl/>
              <w:tabs>
                <w:tab w:val="left" w:pos="900"/>
              </w:tabs>
              <w:spacing w:after="0"/>
              <w:jc w:val="center"/>
              <w:rPr>
                <w:sz w:val="18"/>
                <w:szCs w:val="18"/>
              </w:rPr>
            </w:pPr>
            <w:r>
              <w:rPr>
                <w:sz w:val="18"/>
                <w:szCs w:val="18"/>
              </w:rPr>
              <w:t>22</w:t>
            </w:r>
            <w:r w:rsidR="006616BA">
              <w:rPr>
                <w:sz w:val="18"/>
                <w:szCs w:val="18"/>
              </w:rPr>
              <w:t>0,000</w:t>
            </w:r>
          </w:p>
          <w:p w:rsidR="006616BA" w:rsidRDefault="00643BF3" w:rsidP="00E92471">
            <w:pPr>
              <w:keepNext/>
              <w:widowControl/>
              <w:tabs>
                <w:tab w:val="left" w:pos="900"/>
              </w:tabs>
              <w:spacing w:after="0"/>
              <w:jc w:val="center"/>
              <w:rPr>
                <w:sz w:val="18"/>
                <w:szCs w:val="18"/>
              </w:rPr>
            </w:pPr>
            <w:r>
              <w:rPr>
                <w:sz w:val="18"/>
                <w:szCs w:val="18"/>
              </w:rPr>
              <w:t>22</w:t>
            </w:r>
            <w:r w:rsidR="006616BA">
              <w:rPr>
                <w:sz w:val="18"/>
                <w:szCs w:val="18"/>
              </w:rPr>
              <w:t>0,000</w:t>
            </w:r>
          </w:p>
          <w:p w:rsidR="006616BA" w:rsidRPr="00052B45" w:rsidRDefault="00643BF3" w:rsidP="00643BF3">
            <w:pPr>
              <w:keepNext/>
              <w:widowControl/>
              <w:tabs>
                <w:tab w:val="left" w:pos="900"/>
              </w:tabs>
              <w:spacing w:after="0"/>
              <w:jc w:val="center"/>
              <w:rPr>
                <w:sz w:val="18"/>
                <w:szCs w:val="18"/>
              </w:rPr>
            </w:pPr>
            <w:r>
              <w:rPr>
                <w:sz w:val="18"/>
                <w:szCs w:val="18"/>
              </w:rPr>
              <w:t>25</w:t>
            </w:r>
            <w:r w:rsidR="009D0FF2">
              <w:rPr>
                <w:sz w:val="18"/>
                <w:szCs w:val="18"/>
              </w:rPr>
              <w:t>0</w:t>
            </w:r>
            <w:r w:rsidR="00F566AC">
              <w:rPr>
                <w:sz w:val="18"/>
                <w:szCs w:val="18"/>
              </w:rPr>
              <w:t>,</w:t>
            </w:r>
            <w:r w:rsidR="009D0FF2">
              <w:rPr>
                <w:sz w:val="18"/>
                <w:szCs w:val="18"/>
              </w:rPr>
              <w:t>000</w:t>
            </w:r>
          </w:p>
        </w:tc>
        <w:tc>
          <w:tcPr>
            <w:tcW w:w="981" w:type="dxa"/>
            <w:shd w:val="clear" w:color="auto" w:fill="C6D9F1" w:themeFill="text2" w:themeFillTint="33"/>
            <w:tcMar>
              <w:top w:w="58" w:type="dxa"/>
              <w:left w:w="115" w:type="dxa"/>
              <w:bottom w:w="58" w:type="dxa"/>
              <w:right w:w="115" w:type="dxa"/>
            </w:tcMar>
            <w:vAlign w:val="bottom"/>
          </w:tcPr>
          <w:p w:rsidR="00C60C82" w:rsidRDefault="00643BF3" w:rsidP="00E92471">
            <w:pPr>
              <w:keepNext/>
              <w:widowControl/>
              <w:tabs>
                <w:tab w:val="left" w:pos="900"/>
              </w:tabs>
              <w:spacing w:after="0"/>
              <w:jc w:val="center"/>
              <w:rPr>
                <w:sz w:val="18"/>
                <w:szCs w:val="18"/>
              </w:rPr>
            </w:pPr>
            <w:r>
              <w:rPr>
                <w:sz w:val="18"/>
                <w:szCs w:val="18"/>
              </w:rPr>
              <w:t>—</w:t>
            </w:r>
          </w:p>
          <w:p w:rsidR="006616BA" w:rsidRDefault="00643BF3" w:rsidP="00E92471">
            <w:pPr>
              <w:keepNext/>
              <w:widowControl/>
              <w:tabs>
                <w:tab w:val="left" w:pos="900"/>
              </w:tabs>
              <w:spacing w:after="0"/>
              <w:jc w:val="center"/>
              <w:rPr>
                <w:sz w:val="18"/>
                <w:szCs w:val="18"/>
              </w:rPr>
            </w:pPr>
            <w:r>
              <w:rPr>
                <w:sz w:val="18"/>
                <w:szCs w:val="18"/>
              </w:rPr>
              <w:t>—</w:t>
            </w:r>
          </w:p>
          <w:p w:rsidR="006616BA" w:rsidRPr="00052B45" w:rsidRDefault="00B57033" w:rsidP="00E92471">
            <w:pPr>
              <w:keepNext/>
              <w:widowControl/>
              <w:tabs>
                <w:tab w:val="left" w:pos="900"/>
              </w:tabs>
              <w:spacing w:after="0"/>
              <w:jc w:val="center"/>
              <w:rPr>
                <w:sz w:val="18"/>
                <w:szCs w:val="18"/>
              </w:rPr>
            </w:pPr>
            <w:r>
              <w:rPr>
                <w:sz w:val="18"/>
                <w:szCs w:val="18"/>
              </w:rPr>
              <w:t>—</w:t>
            </w:r>
          </w:p>
        </w:tc>
        <w:tc>
          <w:tcPr>
            <w:tcW w:w="985" w:type="dxa"/>
            <w:shd w:val="clear" w:color="auto" w:fill="C6D9F1" w:themeFill="text2" w:themeFillTint="33"/>
            <w:tcMar>
              <w:top w:w="58" w:type="dxa"/>
              <w:left w:w="115" w:type="dxa"/>
              <w:bottom w:w="58" w:type="dxa"/>
              <w:right w:w="115" w:type="dxa"/>
            </w:tcMar>
            <w:vAlign w:val="bottom"/>
          </w:tcPr>
          <w:p w:rsidR="00C60C82" w:rsidRDefault="006616BA" w:rsidP="00E92471">
            <w:pPr>
              <w:keepNext/>
              <w:widowControl/>
              <w:tabs>
                <w:tab w:val="left" w:pos="900"/>
              </w:tabs>
              <w:spacing w:after="0"/>
              <w:jc w:val="center"/>
              <w:rPr>
                <w:sz w:val="18"/>
                <w:szCs w:val="18"/>
              </w:rPr>
            </w:pPr>
            <w:r>
              <w:rPr>
                <w:sz w:val="18"/>
                <w:szCs w:val="18"/>
              </w:rPr>
              <w:t>—</w:t>
            </w:r>
          </w:p>
          <w:p w:rsidR="006616BA" w:rsidRDefault="006616BA" w:rsidP="00E92471">
            <w:pPr>
              <w:keepNext/>
              <w:widowControl/>
              <w:tabs>
                <w:tab w:val="left" w:pos="900"/>
              </w:tabs>
              <w:spacing w:after="0"/>
              <w:jc w:val="center"/>
              <w:rPr>
                <w:sz w:val="18"/>
                <w:szCs w:val="18"/>
              </w:rPr>
            </w:pPr>
            <w:r>
              <w:rPr>
                <w:sz w:val="18"/>
                <w:szCs w:val="18"/>
              </w:rPr>
              <w:t>—</w:t>
            </w:r>
          </w:p>
          <w:p w:rsidR="006616BA" w:rsidRPr="00052B45" w:rsidRDefault="006616BA" w:rsidP="00E92471">
            <w:pPr>
              <w:keepNext/>
              <w:widowControl/>
              <w:tabs>
                <w:tab w:val="left" w:pos="900"/>
              </w:tabs>
              <w:spacing w:after="0"/>
              <w:jc w:val="center"/>
              <w:rPr>
                <w:sz w:val="18"/>
                <w:szCs w:val="18"/>
              </w:rPr>
            </w:pPr>
            <w:r>
              <w:rPr>
                <w:sz w:val="18"/>
                <w:szCs w:val="18"/>
              </w:rPr>
              <w:t>—</w:t>
            </w:r>
          </w:p>
        </w:tc>
        <w:tc>
          <w:tcPr>
            <w:tcW w:w="1210" w:type="dxa"/>
            <w:shd w:val="clear" w:color="auto" w:fill="C6D9F1" w:themeFill="text2" w:themeFillTint="33"/>
            <w:tcMar>
              <w:top w:w="58" w:type="dxa"/>
              <w:left w:w="115" w:type="dxa"/>
              <w:bottom w:w="58" w:type="dxa"/>
              <w:right w:w="115" w:type="dxa"/>
            </w:tcMar>
            <w:vAlign w:val="bottom"/>
          </w:tcPr>
          <w:p w:rsidR="006616BA" w:rsidRDefault="006616BA" w:rsidP="006616BA">
            <w:pPr>
              <w:keepNext/>
              <w:widowControl/>
              <w:tabs>
                <w:tab w:val="left" w:pos="900"/>
              </w:tabs>
              <w:spacing w:after="0"/>
              <w:jc w:val="center"/>
              <w:rPr>
                <w:sz w:val="18"/>
                <w:szCs w:val="18"/>
              </w:rPr>
            </w:pPr>
            <w:r>
              <w:rPr>
                <w:sz w:val="18"/>
                <w:szCs w:val="18"/>
              </w:rPr>
              <w:t>—</w:t>
            </w:r>
          </w:p>
          <w:p w:rsidR="006616BA" w:rsidRDefault="006616BA" w:rsidP="006616BA">
            <w:pPr>
              <w:keepNext/>
              <w:widowControl/>
              <w:tabs>
                <w:tab w:val="left" w:pos="900"/>
              </w:tabs>
              <w:spacing w:after="0"/>
              <w:jc w:val="center"/>
              <w:rPr>
                <w:sz w:val="18"/>
                <w:szCs w:val="18"/>
              </w:rPr>
            </w:pPr>
            <w:r>
              <w:rPr>
                <w:sz w:val="18"/>
                <w:szCs w:val="18"/>
              </w:rPr>
              <w:t>—</w:t>
            </w:r>
          </w:p>
          <w:p w:rsidR="00C60C82" w:rsidRDefault="006616BA" w:rsidP="006616BA">
            <w:pPr>
              <w:keepNext/>
              <w:widowControl/>
              <w:tabs>
                <w:tab w:val="left" w:pos="900"/>
              </w:tabs>
              <w:spacing w:after="0"/>
              <w:jc w:val="center"/>
              <w:rPr>
                <w:sz w:val="18"/>
                <w:szCs w:val="18"/>
              </w:rPr>
            </w:pPr>
            <w:r>
              <w:rPr>
                <w:sz w:val="18"/>
                <w:szCs w:val="18"/>
              </w:rPr>
              <w:t>—</w:t>
            </w:r>
          </w:p>
        </w:tc>
        <w:tc>
          <w:tcPr>
            <w:tcW w:w="950" w:type="dxa"/>
            <w:shd w:val="clear" w:color="auto" w:fill="C6D9F1" w:themeFill="text2" w:themeFillTint="33"/>
            <w:tcMar>
              <w:top w:w="58" w:type="dxa"/>
              <w:left w:w="115" w:type="dxa"/>
              <w:bottom w:w="58" w:type="dxa"/>
              <w:right w:w="115" w:type="dxa"/>
            </w:tcMar>
            <w:vAlign w:val="bottom"/>
          </w:tcPr>
          <w:p w:rsidR="006616BA" w:rsidRDefault="006616BA" w:rsidP="006616BA">
            <w:pPr>
              <w:keepNext/>
              <w:widowControl/>
              <w:tabs>
                <w:tab w:val="left" w:pos="900"/>
              </w:tabs>
              <w:spacing w:after="0"/>
              <w:jc w:val="center"/>
              <w:rPr>
                <w:sz w:val="18"/>
                <w:szCs w:val="18"/>
              </w:rPr>
            </w:pPr>
            <w:r>
              <w:rPr>
                <w:sz w:val="18"/>
                <w:szCs w:val="18"/>
              </w:rPr>
              <w:t>—</w:t>
            </w:r>
          </w:p>
          <w:p w:rsidR="006616BA" w:rsidRDefault="006616BA" w:rsidP="006616BA">
            <w:pPr>
              <w:keepNext/>
              <w:widowControl/>
              <w:tabs>
                <w:tab w:val="left" w:pos="900"/>
              </w:tabs>
              <w:spacing w:after="0"/>
              <w:jc w:val="center"/>
              <w:rPr>
                <w:sz w:val="18"/>
                <w:szCs w:val="18"/>
              </w:rPr>
            </w:pPr>
            <w:r>
              <w:rPr>
                <w:sz w:val="18"/>
                <w:szCs w:val="18"/>
              </w:rPr>
              <w:t>—</w:t>
            </w:r>
          </w:p>
          <w:p w:rsidR="00C60C82" w:rsidRPr="00052B45" w:rsidRDefault="006616BA" w:rsidP="006616BA">
            <w:pPr>
              <w:keepNext/>
              <w:widowControl/>
              <w:tabs>
                <w:tab w:val="left" w:pos="900"/>
              </w:tabs>
              <w:spacing w:after="0"/>
              <w:jc w:val="center"/>
              <w:rPr>
                <w:sz w:val="18"/>
                <w:szCs w:val="18"/>
              </w:rPr>
            </w:pPr>
            <w:r>
              <w:rPr>
                <w:sz w:val="18"/>
                <w:szCs w:val="18"/>
              </w:rPr>
              <w:t>—</w:t>
            </w:r>
          </w:p>
        </w:tc>
        <w:tc>
          <w:tcPr>
            <w:tcW w:w="950" w:type="dxa"/>
            <w:shd w:val="clear" w:color="auto" w:fill="C6D9F1" w:themeFill="text2" w:themeFillTint="33"/>
            <w:tcMar>
              <w:top w:w="58" w:type="dxa"/>
              <w:left w:w="115" w:type="dxa"/>
              <w:bottom w:w="58" w:type="dxa"/>
              <w:right w:w="115" w:type="dxa"/>
            </w:tcMar>
            <w:vAlign w:val="bottom"/>
          </w:tcPr>
          <w:p w:rsidR="00C60C82" w:rsidRDefault="006616BA" w:rsidP="00E92471">
            <w:pPr>
              <w:keepNext/>
              <w:widowControl/>
              <w:tabs>
                <w:tab w:val="left" w:pos="900"/>
              </w:tabs>
              <w:spacing w:after="0"/>
              <w:jc w:val="center"/>
              <w:rPr>
                <w:sz w:val="18"/>
                <w:szCs w:val="18"/>
              </w:rPr>
            </w:pPr>
            <w:r>
              <w:rPr>
                <w:sz w:val="18"/>
                <w:szCs w:val="18"/>
              </w:rPr>
              <w:t>220,000</w:t>
            </w:r>
          </w:p>
          <w:p w:rsidR="006616BA" w:rsidRDefault="006616BA" w:rsidP="00E92471">
            <w:pPr>
              <w:keepNext/>
              <w:widowControl/>
              <w:tabs>
                <w:tab w:val="left" w:pos="900"/>
              </w:tabs>
              <w:spacing w:after="0"/>
              <w:jc w:val="center"/>
              <w:rPr>
                <w:sz w:val="18"/>
                <w:szCs w:val="18"/>
              </w:rPr>
            </w:pPr>
            <w:r>
              <w:rPr>
                <w:sz w:val="18"/>
                <w:szCs w:val="18"/>
              </w:rPr>
              <w:t>220,000</w:t>
            </w:r>
          </w:p>
          <w:p w:rsidR="006616BA" w:rsidRPr="00052B45" w:rsidRDefault="00B57033" w:rsidP="00E92471">
            <w:pPr>
              <w:keepNext/>
              <w:widowControl/>
              <w:tabs>
                <w:tab w:val="left" w:pos="900"/>
              </w:tabs>
              <w:spacing w:after="0"/>
              <w:jc w:val="center"/>
              <w:rPr>
                <w:sz w:val="18"/>
                <w:szCs w:val="18"/>
              </w:rPr>
            </w:pPr>
            <w:r>
              <w:rPr>
                <w:sz w:val="18"/>
                <w:szCs w:val="18"/>
              </w:rPr>
              <w:t>250,000</w:t>
            </w:r>
          </w:p>
        </w:tc>
      </w:tr>
      <w:tr w:rsidR="00C60C82" w:rsidTr="00AE3561">
        <w:tc>
          <w:tcPr>
            <w:tcW w:w="2309" w:type="dxa"/>
            <w:shd w:val="clear" w:color="auto" w:fill="FFFFFF" w:themeFill="background1"/>
            <w:tcMar>
              <w:top w:w="58" w:type="dxa"/>
              <w:left w:w="115" w:type="dxa"/>
              <w:bottom w:w="58" w:type="dxa"/>
              <w:right w:w="115" w:type="dxa"/>
            </w:tcMar>
          </w:tcPr>
          <w:p w:rsidR="00C60C82" w:rsidRDefault="00524A26" w:rsidP="000D0AFE">
            <w:pPr>
              <w:widowControl/>
              <w:tabs>
                <w:tab w:val="left" w:pos="900"/>
              </w:tabs>
              <w:spacing w:after="0"/>
              <w:jc w:val="left"/>
              <w:rPr>
                <w:sz w:val="18"/>
                <w:szCs w:val="18"/>
              </w:rPr>
            </w:pPr>
            <w:r>
              <w:rPr>
                <w:sz w:val="18"/>
                <w:szCs w:val="18"/>
              </w:rPr>
              <w:t>Kevan M. Blair</w:t>
            </w:r>
            <w:r w:rsidR="003B6A12" w:rsidRPr="003B6A12">
              <w:rPr>
                <w:sz w:val="18"/>
                <w:szCs w:val="18"/>
                <w:vertAlign w:val="superscript"/>
              </w:rPr>
              <w:t xml:space="preserve"> (6)</w:t>
            </w:r>
          </w:p>
          <w:p w:rsidR="008B67E9" w:rsidRPr="00E6429F" w:rsidRDefault="003700B6" w:rsidP="00E6429F">
            <w:pPr>
              <w:widowControl/>
              <w:tabs>
                <w:tab w:val="left" w:pos="900"/>
              </w:tabs>
              <w:spacing w:after="0"/>
              <w:jc w:val="left"/>
              <w:rPr>
                <w:i/>
                <w:sz w:val="18"/>
                <w:szCs w:val="18"/>
              </w:rPr>
            </w:pPr>
            <w:r>
              <w:rPr>
                <w:i/>
                <w:sz w:val="18"/>
                <w:szCs w:val="18"/>
              </w:rPr>
              <w:t xml:space="preserve">Senior Vice President &amp; </w:t>
            </w:r>
            <w:r w:rsidR="008B67E9" w:rsidRPr="00052B45">
              <w:rPr>
                <w:i/>
                <w:sz w:val="18"/>
                <w:szCs w:val="18"/>
              </w:rPr>
              <w:t>Chief Financial Officer (principal financial officer</w:t>
            </w:r>
            <w:r w:rsidR="00E6429F">
              <w:rPr>
                <w:i/>
                <w:sz w:val="18"/>
                <w:szCs w:val="18"/>
              </w:rPr>
              <w:t>)</w:t>
            </w:r>
          </w:p>
        </w:tc>
        <w:tc>
          <w:tcPr>
            <w:tcW w:w="799" w:type="dxa"/>
            <w:shd w:val="clear" w:color="auto" w:fill="FFFFFF" w:themeFill="background1"/>
            <w:tcMar>
              <w:top w:w="58" w:type="dxa"/>
              <w:left w:w="115" w:type="dxa"/>
              <w:bottom w:w="58" w:type="dxa"/>
              <w:right w:w="115" w:type="dxa"/>
            </w:tcMar>
            <w:vAlign w:val="bottom"/>
          </w:tcPr>
          <w:p w:rsidR="00236C75" w:rsidRPr="00052B45" w:rsidRDefault="00236C75" w:rsidP="00236C75">
            <w:pPr>
              <w:keepNext/>
              <w:widowControl/>
              <w:tabs>
                <w:tab w:val="left" w:pos="900"/>
              </w:tabs>
              <w:spacing w:after="0"/>
              <w:jc w:val="center"/>
              <w:rPr>
                <w:sz w:val="18"/>
                <w:szCs w:val="18"/>
              </w:rPr>
            </w:pPr>
            <w:r>
              <w:rPr>
                <w:sz w:val="18"/>
                <w:szCs w:val="18"/>
              </w:rPr>
              <w:t>2015</w:t>
            </w:r>
          </w:p>
        </w:tc>
        <w:tc>
          <w:tcPr>
            <w:tcW w:w="981" w:type="dxa"/>
            <w:shd w:val="clear" w:color="auto" w:fill="FFFFFF" w:themeFill="background1"/>
            <w:tcMar>
              <w:top w:w="58" w:type="dxa"/>
              <w:left w:w="115" w:type="dxa"/>
              <w:bottom w:w="58" w:type="dxa"/>
              <w:right w:w="115" w:type="dxa"/>
            </w:tcMar>
            <w:vAlign w:val="bottom"/>
          </w:tcPr>
          <w:p w:rsidR="00C60C82" w:rsidRPr="00FB047B" w:rsidRDefault="00FB047B" w:rsidP="00E92471">
            <w:pPr>
              <w:keepNext/>
              <w:widowControl/>
              <w:tabs>
                <w:tab w:val="left" w:pos="900"/>
              </w:tabs>
              <w:spacing w:after="0"/>
              <w:jc w:val="center"/>
              <w:rPr>
                <w:sz w:val="18"/>
                <w:szCs w:val="18"/>
              </w:rPr>
            </w:pPr>
            <w:r w:rsidRPr="00FB047B">
              <w:rPr>
                <w:sz w:val="18"/>
                <w:szCs w:val="18"/>
              </w:rPr>
              <w:t>304,504</w:t>
            </w:r>
          </w:p>
        </w:tc>
        <w:tc>
          <w:tcPr>
            <w:tcW w:w="981" w:type="dxa"/>
            <w:shd w:val="clear" w:color="auto" w:fill="FFFFFF" w:themeFill="background1"/>
            <w:tcMar>
              <w:top w:w="58" w:type="dxa"/>
              <w:left w:w="115" w:type="dxa"/>
              <w:bottom w:w="58" w:type="dxa"/>
              <w:right w:w="115" w:type="dxa"/>
            </w:tcMar>
            <w:vAlign w:val="bottom"/>
          </w:tcPr>
          <w:p w:rsidR="00C60C82" w:rsidRPr="00052B45" w:rsidRDefault="00B57033" w:rsidP="00E92471">
            <w:pPr>
              <w:keepNext/>
              <w:widowControl/>
              <w:tabs>
                <w:tab w:val="left" w:pos="900"/>
              </w:tabs>
              <w:spacing w:after="0"/>
              <w:jc w:val="center"/>
              <w:rPr>
                <w:sz w:val="18"/>
                <w:szCs w:val="18"/>
              </w:rPr>
            </w:pPr>
            <w:r w:rsidRPr="00370200">
              <w:rPr>
                <w:sz w:val="18"/>
                <w:szCs w:val="18"/>
              </w:rPr>
              <w:t>7</w:t>
            </w:r>
            <w:r w:rsidR="00664463" w:rsidRPr="00370200">
              <w:rPr>
                <w:sz w:val="18"/>
                <w:szCs w:val="18"/>
              </w:rPr>
              <w:t>5</w:t>
            </w:r>
            <w:r w:rsidR="00664463">
              <w:rPr>
                <w:sz w:val="18"/>
                <w:szCs w:val="18"/>
              </w:rPr>
              <w:t>,000</w:t>
            </w:r>
          </w:p>
        </w:tc>
        <w:tc>
          <w:tcPr>
            <w:tcW w:w="985" w:type="dxa"/>
            <w:shd w:val="clear" w:color="auto" w:fill="FFFFFF" w:themeFill="background1"/>
            <w:tcMar>
              <w:top w:w="58" w:type="dxa"/>
              <w:left w:w="115" w:type="dxa"/>
              <w:bottom w:w="58" w:type="dxa"/>
              <w:right w:w="115" w:type="dxa"/>
            </w:tcMar>
            <w:vAlign w:val="bottom"/>
          </w:tcPr>
          <w:p w:rsidR="009B3701" w:rsidRPr="00052B45" w:rsidRDefault="000A204C" w:rsidP="00E92471">
            <w:pPr>
              <w:keepNext/>
              <w:widowControl/>
              <w:tabs>
                <w:tab w:val="left" w:pos="900"/>
              </w:tabs>
              <w:spacing w:after="0"/>
              <w:jc w:val="center"/>
              <w:rPr>
                <w:sz w:val="18"/>
                <w:szCs w:val="18"/>
              </w:rPr>
            </w:pPr>
            <w:r>
              <w:rPr>
                <w:sz w:val="18"/>
                <w:szCs w:val="18"/>
              </w:rPr>
              <w:t>25,001</w:t>
            </w:r>
          </w:p>
        </w:tc>
        <w:tc>
          <w:tcPr>
            <w:tcW w:w="1210" w:type="dxa"/>
            <w:shd w:val="clear" w:color="auto" w:fill="FFFFFF" w:themeFill="background1"/>
            <w:tcMar>
              <w:top w:w="58" w:type="dxa"/>
              <w:left w:w="115" w:type="dxa"/>
              <w:bottom w:w="58" w:type="dxa"/>
              <w:right w:w="115" w:type="dxa"/>
            </w:tcMar>
            <w:vAlign w:val="bottom"/>
          </w:tcPr>
          <w:p w:rsidR="00C60C82" w:rsidRDefault="00DA518C" w:rsidP="00E92471">
            <w:pPr>
              <w:keepNext/>
              <w:widowControl/>
              <w:tabs>
                <w:tab w:val="left" w:pos="900"/>
              </w:tabs>
              <w:spacing w:after="0"/>
              <w:jc w:val="center"/>
              <w:rPr>
                <w:sz w:val="18"/>
                <w:szCs w:val="18"/>
              </w:rPr>
            </w:pPr>
            <w:r>
              <w:rPr>
                <w:sz w:val="18"/>
                <w:szCs w:val="18"/>
              </w:rPr>
              <w:t>—</w:t>
            </w:r>
          </w:p>
        </w:tc>
        <w:tc>
          <w:tcPr>
            <w:tcW w:w="950" w:type="dxa"/>
            <w:shd w:val="clear" w:color="auto" w:fill="FFFFFF" w:themeFill="background1"/>
            <w:tcMar>
              <w:top w:w="58" w:type="dxa"/>
              <w:left w:w="115" w:type="dxa"/>
              <w:bottom w:w="58" w:type="dxa"/>
              <w:right w:w="115" w:type="dxa"/>
            </w:tcMar>
            <w:vAlign w:val="bottom"/>
          </w:tcPr>
          <w:p w:rsidR="00C60C82" w:rsidRPr="00052B45" w:rsidRDefault="009D0FF2" w:rsidP="00E92471">
            <w:pPr>
              <w:keepNext/>
              <w:widowControl/>
              <w:tabs>
                <w:tab w:val="left" w:pos="900"/>
              </w:tabs>
              <w:spacing w:after="0"/>
              <w:jc w:val="center"/>
              <w:rPr>
                <w:sz w:val="18"/>
                <w:szCs w:val="18"/>
              </w:rPr>
            </w:pPr>
            <w:r>
              <w:rPr>
                <w:sz w:val="18"/>
                <w:szCs w:val="18"/>
              </w:rPr>
              <w:t>10,642</w:t>
            </w:r>
          </w:p>
        </w:tc>
        <w:tc>
          <w:tcPr>
            <w:tcW w:w="950" w:type="dxa"/>
            <w:shd w:val="clear" w:color="auto" w:fill="FFFFFF" w:themeFill="background1"/>
            <w:tcMar>
              <w:top w:w="58" w:type="dxa"/>
              <w:left w:w="115" w:type="dxa"/>
              <w:bottom w:w="58" w:type="dxa"/>
              <w:right w:w="115" w:type="dxa"/>
            </w:tcMar>
            <w:vAlign w:val="bottom"/>
          </w:tcPr>
          <w:p w:rsidR="000A204C" w:rsidRPr="00052B45" w:rsidRDefault="00715FA7" w:rsidP="000A204C">
            <w:pPr>
              <w:keepNext/>
              <w:widowControl/>
              <w:tabs>
                <w:tab w:val="left" w:pos="900"/>
              </w:tabs>
              <w:spacing w:after="0"/>
              <w:jc w:val="center"/>
              <w:rPr>
                <w:sz w:val="18"/>
                <w:szCs w:val="18"/>
              </w:rPr>
            </w:pPr>
            <w:r>
              <w:rPr>
                <w:sz w:val="18"/>
                <w:szCs w:val="18"/>
              </w:rPr>
              <w:t>415,147</w:t>
            </w:r>
          </w:p>
        </w:tc>
      </w:tr>
      <w:tr w:rsidR="0018342A" w:rsidTr="00AE3561">
        <w:tc>
          <w:tcPr>
            <w:tcW w:w="2309" w:type="dxa"/>
            <w:shd w:val="clear" w:color="auto" w:fill="C6D9F1" w:themeFill="text2" w:themeFillTint="33"/>
            <w:tcMar>
              <w:top w:w="58" w:type="dxa"/>
              <w:left w:w="115" w:type="dxa"/>
              <w:bottom w:w="58" w:type="dxa"/>
              <w:right w:w="115" w:type="dxa"/>
            </w:tcMar>
          </w:tcPr>
          <w:p w:rsidR="00A27F1E" w:rsidRPr="00052B45" w:rsidRDefault="00A27F1E" w:rsidP="000D0AFE">
            <w:pPr>
              <w:widowControl/>
              <w:tabs>
                <w:tab w:val="left" w:pos="900"/>
              </w:tabs>
              <w:spacing w:after="0"/>
              <w:jc w:val="left"/>
              <w:rPr>
                <w:sz w:val="18"/>
                <w:szCs w:val="18"/>
              </w:rPr>
            </w:pPr>
            <w:r w:rsidRPr="00052B45">
              <w:rPr>
                <w:sz w:val="18"/>
                <w:szCs w:val="18"/>
              </w:rPr>
              <w:t>Peter E. MacKenna</w:t>
            </w:r>
          </w:p>
          <w:p w:rsidR="008B67E9" w:rsidRDefault="00374D4E" w:rsidP="000D0AFE">
            <w:pPr>
              <w:widowControl/>
              <w:tabs>
                <w:tab w:val="left" w:pos="900"/>
              </w:tabs>
              <w:spacing w:after="0"/>
              <w:jc w:val="left"/>
              <w:rPr>
                <w:i/>
                <w:sz w:val="18"/>
                <w:szCs w:val="18"/>
              </w:rPr>
            </w:pPr>
            <w:r>
              <w:rPr>
                <w:i/>
                <w:sz w:val="18"/>
                <w:szCs w:val="18"/>
              </w:rPr>
              <w:t xml:space="preserve">President &amp; </w:t>
            </w:r>
            <w:r w:rsidR="00A27F1E" w:rsidRPr="00052B45">
              <w:rPr>
                <w:i/>
                <w:sz w:val="18"/>
                <w:szCs w:val="18"/>
              </w:rPr>
              <w:t>Chief Executive Officer (principal executive officer)</w:t>
            </w:r>
          </w:p>
          <w:p w:rsidR="00A27F1E" w:rsidRPr="00524A26" w:rsidRDefault="00524A26" w:rsidP="000D0AFE">
            <w:pPr>
              <w:widowControl/>
              <w:tabs>
                <w:tab w:val="left" w:pos="900"/>
              </w:tabs>
              <w:spacing w:after="0"/>
              <w:jc w:val="left"/>
              <w:rPr>
                <w:sz w:val="18"/>
                <w:szCs w:val="18"/>
              </w:rPr>
            </w:pPr>
            <w:r>
              <w:rPr>
                <w:sz w:val="18"/>
                <w:szCs w:val="18"/>
              </w:rPr>
              <w:t>January 1 – 31, 2015</w:t>
            </w:r>
          </w:p>
        </w:tc>
        <w:tc>
          <w:tcPr>
            <w:tcW w:w="799" w:type="dxa"/>
            <w:shd w:val="clear" w:color="auto" w:fill="C6D9F1" w:themeFill="text2" w:themeFillTint="33"/>
            <w:tcMar>
              <w:top w:w="58" w:type="dxa"/>
              <w:left w:w="115" w:type="dxa"/>
              <w:bottom w:w="58" w:type="dxa"/>
              <w:right w:w="115" w:type="dxa"/>
            </w:tcMar>
            <w:vAlign w:val="bottom"/>
          </w:tcPr>
          <w:p w:rsidR="00A27F1E" w:rsidRDefault="00A27F1E" w:rsidP="00E92471">
            <w:pPr>
              <w:keepNext/>
              <w:widowControl/>
              <w:tabs>
                <w:tab w:val="left" w:pos="900"/>
              </w:tabs>
              <w:spacing w:after="0"/>
              <w:jc w:val="center"/>
              <w:rPr>
                <w:sz w:val="18"/>
                <w:szCs w:val="18"/>
              </w:rPr>
            </w:pPr>
            <w:r w:rsidRPr="00052B45">
              <w:rPr>
                <w:sz w:val="18"/>
                <w:szCs w:val="18"/>
              </w:rPr>
              <w:t>2013</w:t>
            </w:r>
          </w:p>
          <w:p w:rsidR="00161B1F" w:rsidRDefault="00161B1F" w:rsidP="00E92471">
            <w:pPr>
              <w:keepNext/>
              <w:widowControl/>
              <w:tabs>
                <w:tab w:val="left" w:pos="900"/>
              </w:tabs>
              <w:spacing w:after="0"/>
              <w:jc w:val="center"/>
              <w:rPr>
                <w:sz w:val="18"/>
                <w:szCs w:val="18"/>
              </w:rPr>
            </w:pPr>
            <w:r>
              <w:rPr>
                <w:sz w:val="18"/>
                <w:szCs w:val="18"/>
              </w:rPr>
              <w:t>2014</w:t>
            </w:r>
          </w:p>
          <w:p w:rsidR="00236C75" w:rsidRPr="00052B45" w:rsidRDefault="00236C75" w:rsidP="00E92471">
            <w:pPr>
              <w:keepNext/>
              <w:widowControl/>
              <w:tabs>
                <w:tab w:val="left" w:pos="900"/>
              </w:tabs>
              <w:spacing w:after="0"/>
              <w:jc w:val="center"/>
              <w:rPr>
                <w:sz w:val="18"/>
                <w:szCs w:val="18"/>
              </w:rPr>
            </w:pPr>
            <w:r>
              <w:rPr>
                <w:sz w:val="18"/>
                <w:szCs w:val="18"/>
              </w:rPr>
              <w:t>2015</w:t>
            </w:r>
          </w:p>
        </w:tc>
        <w:tc>
          <w:tcPr>
            <w:tcW w:w="981" w:type="dxa"/>
            <w:shd w:val="clear" w:color="auto" w:fill="C6D9F1" w:themeFill="text2" w:themeFillTint="33"/>
            <w:tcMar>
              <w:top w:w="58" w:type="dxa"/>
              <w:left w:w="115" w:type="dxa"/>
              <w:bottom w:w="58" w:type="dxa"/>
              <w:right w:w="115" w:type="dxa"/>
            </w:tcMar>
            <w:vAlign w:val="bottom"/>
          </w:tcPr>
          <w:p w:rsidR="00A27F1E" w:rsidRDefault="00A27F1E" w:rsidP="00E92471">
            <w:pPr>
              <w:keepNext/>
              <w:widowControl/>
              <w:tabs>
                <w:tab w:val="left" w:pos="900"/>
              </w:tabs>
              <w:spacing w:after="0"/>
              <w:jc w:val="center"/>
              <w:rPr>
                <w:sz w:val="18"/>
                <w:szCs w:val="18"/>
              </w:rPr>
            </w:pPr>
            <w:r w:rsidRPr="00052B45">
              <w:rPr>
                <w:sz w:val="18"/>
                <w:szCs w:val="18"/>
              </w:rPr>
              <w:t>600,000</w:t>
            </w:r>
          </w:p>
          <w:p w:rsidR="00161B1F" w:rsidRDefault="009D45AA" w:rsidP="00E92471">
            <w:pPr>
              <w:keepNext/>
              <w:widowControl/>
              <w:tabs>
                <w:tab w:val="left" w:pos="900"/>
              </w:tabs>
              <w:spacing w:after="0"/>
              <w:jc w:val="center"/>
              <w:rPr>
                <w:sz w:val="18"/>
                <w:szCs w:val="18"/>
              </w:rPr>
            </w:pPr>
            <w:r>
              <w:rPr>
                <w:sz w:val="18"/>
                <w:szCs w:val="18"/>
              </w:rPr>
              <w:t>600,000</w:t>
            </w:r>
          </w:p>
          <w:p w:rsidR="00A53D89" w:rsidRPr="00052B45" w:rsidRDefault="009D0FF2" w:rsidP="009D0FF2">
            <w:pPr>
              <w:keepNext/>
              <w:widowControl/>
              <w:tabs>
                <w:tab w:val="left" w:pos="900"/>
              </w:tabs>
              <w:spacing w:after="0"/>
              <w:jc w:val="center"/>
              <w:rPr>
                <w:sz w:val="18"/>
                <w:szCs w:val="18"/>
              </w:rPr>
            </w:pPr>
            <w:r>
              <w:rPr>
                <w:sz w:val="18"/>
                <w:szCs w:val="18"/>
              </w:rPr>
              <w:t>46</w:t>
            </w:r>
            <w:r w:rsidR="00F566AC">
              <w:rPr>
                <w:sz w:val="18"/>
                <w:szCs w:val="18"/>
              </w:rPr>
              <w:t>,</w:t>
            </w:r>
            <w:r>
              <w:rPr>
                <w:sz w:val="18"/>
                <w:szCs w:val="18"/>
              </w:rPr>
              <w:t>154</w:t>
            </w:r>
          </w:p>
        </w:tc>
        <w:tc>
          <w:tcPr>
            <w:tcW w:w="981" w:type="dxa"/>
            <w:shd w:val="clear" w:color="auto" w:fill="C6D9F1" w:themeFill="text2" w:themeFillTint="33"/>
            <w:tcMar>
              <w:top w:w="58" w:type="dxa"/>
              <w:left w:w="115" w:type="dxa"/>
              <w:bottom w:w="58" w:type="dxa"/>
              <w:right w:w="115" w:type="dxa"/>
            </w:tcMar>
            <w:vAlign w:val="bottom"/>
          </w:tcPr>
          <w:p w:rsidR="00A27F1E" w:rsidRDefault="006329AC" w:rsidP="00E92471">
            <w:pPr>
              <w:keepNext/>
              <w:widowControl/>
              <w:tabs>
                <w:tab w:val="left" w:pos="900"/>
              </w:tabs>
              <w:spacing w:after="0"/>
              <w:jc w:val="center"/>
              <w:rPr>
                <w:sz w:val="18"/>
                <w:szCs w:val="18"/>
              </w:rPr>
            </w:pPr>
            <w:r>
              <w:rPr>
                <w:sz w:val="18"/>
                <w:szCs w:val="18"/>
              </w:rPr>
              <w:t>—</w:t>
            </w:r>
          </w:p>
          <w:p w:rsidR="00161B1F" w:rsidRDefault="00A3736E" w:rsidP="00E92471">
            <w:pPr>
              <w:keepNext/>
              <w:widowControl/>
              <w:tabs>
                <w:tab w:val="left" w:pos="900"/>
              </w:tabs>
              <w:spacing w:after="0"/>
              <w:jc w:val="center"/>
              <w:rPr>
                <w:sz w:val="18"/>
                <w:szCs w:val="18"/>
              </w:rPr>
            </w:pPr>
            <w:r>
              <w:rPr>
                <w:sz w:val="18"/>
                <w:szCs w:val="18"/>
              </w:rPr>
              <w:t>—</w:t>
            </w:r>
          </w:p>
          <w:p w:rsidR="00A53D89" w:rsidRPr="006329AC" w:rsidRDefault="00043C21" w:rsidP="00E92471">
            <w:pPr>
              <w:keepNext/>
              <w:widowControl/>
              <w:tabs>
                <w:tab w:val="left" w:pos="900"/>
              </w:tabs>
              <w:spacing w:after="0"/>
              <w:jc w:val="center"/>
              <w:rPr>
                <w:sz w:val="18"/>
                <w:szCs w:val="18"/>
              </w:rPr>
            </w:pPr>
            <w:r>
              <w:rPr>
                <w:sz w:val="18"/>
                <w:szCs w:val="18"/>
              </w:rPr>
              <w:t>—</w:t>
            </w:r>
          </w:p>
        </w:tc>
        <w:tc>
          <w:tcPr>
            <w:tcW w:w="985" w:type="dxa"/>
            <w:shd w:val="clear" w:color="auto" w:fill="C6D9F1" w:themeFill="text2" w:themeFillTint="33"/>
            <w:tcMar>
              <w:top w:w="58" w:type="dxa"/>
              <w:left w:w="115" w:type="dxa"/>
              <w:bottom w:w="58" w:type="dxa"/>
              <w:right w:w="115" w:type="dxa"/>
            </w:tcMar>
            <w:vAlign w:val="bottom"/>
          </w:tcPr>
          <w:p w:rsidR="00A27F1E" w:rsidRDefault="00A27F1E" w:rsidP="00E92471">
            <w:pPr>
              <w:keepNext/>
              <w:widowControl/>
              <w:tabs>
                <w:tab w:val="left" w:pos="900"/>
              </w:tabs>
              <w:spacing w:after="0"/>
              <w:jc w:val="center"/>
              <w:rPr>
                <w:sz w:val="18"/>
                <w:szCs w:val="18"/>
              </w:rPr>
            </w:pPr>
            <w:r w:rsidRPr="00052B45">
              <w:rPr>
                <w:sz w:val="18"/>
                <w:szCs w:val="18"/>
              </w:rPr>
              <w:t>994,000</w:t>
            </w:r>
          </w:p>
          <w:p w:rsidR="00161B1F" w:rsidRDefault="00D80646" w:rsidP="00E92471">
            <w:pPr>
              <w:keepNext/>
              <w:widowControl/>
              <w:tabs>
                <w:tab w:val="left" w:pos="900"/>
              </w:tabs>
              <w:spacing w:after="0"/>
              <w:jc w:val="center"/>
              <w:rPr>
                <w:sz w:val="18"/>
                <w:szCs w:val="18"/>
                <w:shd w:val="clear" w:color="auto" w:fill="DBE5F1" w:themeFill="accent1" w:themeFillTint="33"/>
              </w:rPr>
            </w:pPr>
            <w:r w:rsidRPr="008D60A9">
              <w:rPr>
                <w:sz w:val="18"/>
                <w:szCs w:val="18"/>
                <w:shd w:val="clear" w:color="auto" w:fill="C6D9F1" w:themeFill="text2" w:themeFillTint="33"/>
              </w:rPr>
              <w:t>81,000</w:t>
            </w:r>
          </w:p>
          <w:p w:rsidR="00A53D89" w:rsidRPr="00043C21" w:rsidRDefault="00591D9E" w:rsidP="00E92471">
            <w:pPr>
              <w:keepNext/>
              <w:widowControl/>
              <w:tabs>
                <w:tab w:val="left" w:pos="900"/>
              </w:tabs>
              <w:spacing w:after="0"/>
              <w:jc w:val="center"/>
              <w:rPr>
                <w:sz w:val="18"/>
                <w:szCs w:val="18"/>
              </w:rPr>
            </w:pPr>
            <w:r>
              <w:rPr>
                <w:sz w:val="18"/>
                <w:szCs w:val="18"/>
              </w:rPr>
              <w:t>—</w:t>
            </w:r>
          </w:p>
        </w:tc>
        <w:tc>
          <w:tcPr>
            <w:tcW w:w="1210" w:type="dxa"/>
            <w:shd w:val="clear" w:color="auto" w:fill="C6D9F1" w:themeFill="text2" w:themeFillTint="33"/>
            <w:tcMar>
              <w:top w:w="58" w:type="dxa"/>
              <w:left w:w="115" w:type="dxa"/>
              <w:bottom w:w="58" w:type="dxa"/>
              <w:right w:w="115" w:type="dxa"/>
            </w:tcMar>
            <w:vAlign w:val="bottom"/>
          </w:tcPr>
          <w:p w:rsidR="00A27F1E" w:rsidRDefault="00A27F1E" w:rsidP="00412094">
            <w:pPr>
              <w:keepNext/>
              <w:widowControl/>
              <w:tabs>
                <w:tab w:val="left" w:pos="900"/>
              </w:tabs>
              <w:spacing w:after="0"/>
              <w:jc w:val="center"/>
              <w:rPr>
                <w:sz w:val="18"/>
                <w:szCs w:val="18"/>
              </w:rPr>
            </w:pPr>
            <w:r>
              <w:rPr>
                <w:sz w:val="18"/>
                <w:szCs w:val="18"/>
              </w:rPr>
              <w:t>216</w:t>
            </w:r>
            <w:r w:rsidRPr="00052B45">
              <w:rPr>
                <w:sz w:val="18"/>
                <w:szCs w:val="18"/>
              </w:rPr>
              <w:t>,000</w:t>
            </w:r>
          </w:p>
          <w:p w:rsidR="00161B1F" w:rsidRDefault="00DF1503" w:rsidP="00412094">
            <w:pPr>
              <w:keepNext/>
              <w:widowControl/>
              <w:tabs>
                <w:tab w:val="left" w:pos="900"/>
              </w:tabs>
              <w:spacing w:after="0"/>
              <w:jc w:val="center"/>
              <w:rPr>
                <w:sz w:val="18"/>
                <w:szCs w:val="18"/>
              </w:rPr>
            </w:pPr>
            <w:r>
              <w:rPr>
                <w:sz w:val="18"/>
                <w:szCs w:val="18"/>
              </w:rPr>
              <w:t>189,000</w:t>
            </w:r>
          </w:p>
          <w:p w:rsidR="00A53D89" w:rsidRPr="006329AC" w:rsidRDefault="00043C21" w:rsidP="00412094">
            <w:pPr>
              <w:keepNext/>
              <w:widowControl/>
              <w:tabs>
                <w:tab w:val="left" w:pos="900"/>
              </w:tabs>
              <w:spacing w:after="0"/>
              <w:jc w:val="center"/>
              <w:rPr>
                <w:sz w:val="18"/>
                <w:szCs w:val="18"/>
              </w:rPr>
            </w:pPr>
            <w:r>
              <w:rPr>
                <w:sz w:val="18"/>
                <w:szCs w:val="18"/>
              </w:rPr>
              <w:t>—</w:t>
            </w:r>
          </w:p>
        </w:tc>
        <w:tc>
          <w:tcPr>
            <w:tcW w:w="950" w:type="dxa"/>
            <w:shd w:val="clear" w:color="auto" w:fill="C6D9F1" w:themeFill="text2" w:themeFillTint="33"/>
            <w:tcMar>
              <w:top w:w="58" w:type="dxa"/>
              <w:left w:w="115" w:type="dxa"/>
              <w:bottom w:w="58" w:type="dxa"/>
              <w:right w:w="115" w:type="dxa"/>
            </w:tcMar>
            <w:vAlign w:val="bottom"/>
          </w:tcPr>
          <w:p w:rsidR="00A27F1E" w:rsidRDefault="00D055E4" w:rsidP="00E92471">
            <w:pPr>
              <w:keepNext/>
              <w:widowControl/>
              <w:tabs>
                <w:tab w:val="left" w:pos="900"/>
              </w:tabs>
              <w:spacing w:after="0"/>
              <w:jc w:val="center"/>
              <w:rPr>
                <w:sz w:val="18"/>
                <w:szCs w:val="18"/>
              </w:rPr>
            </w:pPr>
            <w:r>
              <w:rPr>
                <w:sz w:val="18"/>
                <w:szCs w:val="18"/>
              </w:rPr>
              <w:t>156,506</w:t>
            </w:r>
          </w:p>
          <w:p w:rsidR="00161B1F" w:rsidRDefault="00D055E4" w:rsidP="00E92471">
            <w:pPr>
              <w:keepNext/>
              <w:widowControl/>
              <w:tabs>
                <w:tab w:val="left" w:pos="900"/>
              </w:tabs>
              <w:spacing w:after="0"/>
              <w:jc w:val="center"/>
              <w:rPr>
                <w:sz w:val="18"/>
                <w:szCs w:val="18"/>
              </w:rPr>
            </w:pPr>
            <w:r>
              <w:rPr>
                <w:sz w:val="18"/>
                <w:szCs w:val="18"/>
              </w:rPr>
              <w:t>399,952</w:t>
            </w:r>
          </w:p>
          <w:p w:rsidR="001D3F5D" w:rsidRPr="00052B45" w:rsidRDefault="001D3F5D" w:rsidP="002D3EDB">
            <w:pPr>
              <w:keepNext/>
              <w:widowControl/>
              <w:tabs>
                <w:tab w:val="left" w:pos="900"/>
              </w:tabs>
              <w:spacing w:after="0"/>
              <w:jc w:val="center"/>
              <w:rPr>
                <w:sz w:val="18"/>
                <w:szCs w:val="18"/>
              </w:rPr>
            </w:pPr>
            <w:r>
              <w:rPr>
                <w:sz w:val="18"/>
                <w:szCs w:val="18"/>
              </w:rPr>
              <w:t>1</w:t>
            </w:r>
            <w:r w:rsidR="004A36FD">
              <w:rPr>
                <w:sz w:val="18"/>
                <w:szCs w:val="18"/>
              </w:rPr>
              <w:t>,</w:t>
            </w:r>
            <w:r w:rsidR="002D3EDB">
              <w:rPr>
                <w:sz w:val="18"/>
                <w:szCs w:val="18"/>
              </w:rPr>
              <w:t>793,</w:t>
            </w:r>
            <w:r w:rsidR="00623648">
              <w:rPr>
                <w:sz w:val="18"/>
                <w:szCs w:val="18"/>
              </w:rPr>
              <w:t>5</w:t>
            </w:r>
            <w:r w:rsidR="002D3EDB">
              <w:rPr>
                <w:sz w:val="18"/>
                <w:szCs w:val="18"/>
              </w:rPr>
              <w:t>00</w:t>
            </w:r>
          </w:p>
        </w:tc>
        <w:tc>
          <w:tcPr>
            <w:tcW w:w="950" w:type="dxa"/>
            <w:shd w:val="clear" w:color="auto" w:fill="C6D9F1" w:themeFill="text2" w:themeFillTint="33"/>
            <w:tcMar>
              <w:top w:w="58" w:type="dxa"/>
              <w:left w:w="115" w:type="dxa"/>
              <w:bottom w:w="58" w:type="dxa"/>
              <w:right w:w="115" w:type="dxa"/>
            </w:tcMar>
            <w:vAlign w:val="bottom"/>
          </w:tcPr>
          <w:p w:rsidR="00A27F1E" w:rsidRDefault="00D055E4" w:rsidP="00E92471">
            <w:pPr>
              <w:keepNext/>
              <w:widowControl/>
              <w:tabs>
                <w:tab w:val="left" w:pos="900"/>
              </w:tabs>
              <w:spacing w:after="0"/>
              <w:jc w:val="center"/>
              <w:rPr>
                <w:sz w:val="18"/>
                <w:szCs w:val="18"/>
              </w:rPr>
            </w:pPr>
            <w:r>
              <w:rPr>
                <w:sz w:val="18"/>
                <w:szCs w:val="18"/>
              </w:rPr>
              <w:t>1,966,506</w:t>
            </w:r>
          </w:p>
          <w:p w:rsidR="00161B1F" w:rsidRDefault="00A3736E" w:rsidP="00E92471">
            <w:pPr>
              <w:keepNext/>
              <w:widowControl/>
              <w:tabs>
                <w:tab w:val="left" w:pos="900"/>
              </w:tabs>
              <w:spacing w:after="0"/>
              <w:jc w:val="center"/>
              <w:rPr>
                <w:sz w:val="18"/>
                <w:szCs w:val="18"/>
              </w:rPr>
            </w:pPr>
            <w:r>
              <w:rPr>
                <w:sz w:val="18"/>
                <w:szCs w:val="18"/>
              </w:rPr>
              <w:t>1,269,952</w:t>
            </w:r>
          </w:p>
          <w:p w:rsidR="0014655F" w:rsidRPr="00052B45" w:rsidRDefault="0093530F" w:rsidP="001A21F7">
            <w:pPr>
              <w:keepNext/>
              <w:widowControl/>
              <w:tabs>
                <w:tab w:val="left" w:pos="900"/>
              </w:tabs>
              <w:spacing w:after="0"/>
              <w:jc w:val="center"/>
              <w:rPr>
                <w:sz w:val="18"/>
                <w:szCs w:val="18"/>
              </w:rPr>
            </w:pPr>
            <w:r>
              <w:rPr>
                <w:sz w:val="18"/>
                <w:szCs w:val="18"/>
              </w:rPr>
              <w:t>1,</w:t>
            </w:r>
            <w:r w:rsidR="00623648">
              <w:rPr>
                <w:sz w:val="18"/>
                <w:szCs w:val="18"/>
              </w:rPr>
              <w:t>839,654</w:t>
            </w:r>
          </w:p>
        </w:tc>
      </w:tr>
      <w:tr w:rsidR="0018342A" w:rsidTr="009C72F2">
        <w:trPr>
          <w:cantSplit/>
        </w:trPr>
        <w:tc>
          <w:tcPr>
            <w:tcW w:w="2309" w:type="dxa"/>
            <w:tcBorders>
              <w:bottom w:val="single" w:sz="4" w:space="0" w:color="auto"/>
            </w:tcBorders>
            <w:tcMar>
              <w:top w:w="58" w:type="dxa"/>
              <w:left w:w="115" w:type="dxa"/>
              <w:bottom w:w="58" w:type="dxa"/>
              <w:right w:w="115" w:type="dxa"/>
            </w:tcMar>
          </w:tcPr>
          <w:p w:rsidR="00A27F1E" w:rsidRPr="00052B45" w:rsidRDefault="00A27F1E" w:rsidP="000D0AFE">
            <w:pPr>
              <w:widowControl/>
              <w:tabs>
                <w:tab w:val="left" w:pos="900"/>
              </w:tabs>
              <w:spacing w:after="0"/>
              <w:jc w:val="left"/>
              <w:rPr>
                <w:sz w:val="18"/>
                <w:szCs w:val="18"/>
              </w:rPr>
            </w:pPr>
            <w:r w:rsidRPr="00052B45">
              <w:rPr>
                <w:sz w:val="18"/>
                <w:szCs w:val="18"/>
              </w:rPr>
              <w:t>Thomas R. Wright</w:t>
            </w:r>
            <w:r w:rsidR="008D60A9">
              <w:rPr>
                <w:sz w:val="18"/>
                <w:szCs w:val="18"/>
                <w:vertAlign w:val="superscript"/>
              </w:rPr>
              <w:t xml:space="preserve"> </w:t>
            </w:r>
          </w:p>
          <w:p w:rsidR="00A27F1E" w:rsidRPr="00052B45" w:rsidRDefault="00374D4E" w:rsidP="000D0AFE">
            <w:pPr>
              <w:widowControl/>
              <w:tabs>
                <w:tab w:val="left" w:pos="900"/>
              </w:tabs>
              <w:spacing w:after="0"/>
              <w:jc w:val="left"/>
              <w:rPr>
                <w:i/>
                <w:sz w:val="18"/>
                <w:szCs w:val="18"/>
              </w:rPr>
            </w:pPr>
            <w:r>
              <w:rPr>
                <w:i/>
                <w:sz w:val="18"/>
                <w:szCs w:val="18"/>
              </w:rPr>
              <w:t xml:space="preserve">Executive Vice President &amp; </w:t>
            </w:r>
            <w:r w:rsidR="00A27F1E" w:rsidRPr="00052B45">
              <w:rPr>
                <w:i/>
                <w:sz w:val="18"/>
                <w:szCs w:val="18"/>
              </w:rPr>
              <w:t>Chief Financial Officer (principal financial officer)</w:t>
            </w:r>
          </w:p>
          <w:p w:rsidR="00A27F1E" w:rsidRPr="00052B45" w:rsidRDefault="00524A26" w:rsidP="000D0AFE">
            <w:pPr>
              <w:widowControl/>
              <w:tabs>
                <w:tab w:val="left" w:pos="900"/>
              </w:tabs>
              <w:spacing w:after="0"/>
              <w:jc w:val="left"/>
              <w:rPr>
                <w:sz w:val="18"/>
                <w:szCs w:val="18"/>
              </w:rPr>
            </w:pPr>
            <w:r>
              <w:rPr>
                <w:sz w:val="18"/>
                <w:szCs w:val="18"/>
              </w:rPr>
              <w:t>January I – July 3, 2015</w:t>
            </w:r>
          </w:p>
        </w:tc>
        <w:tc>
          <w:tcPr>
            <w:tcW w:w="799" w:type="dxa"/>
            <w:tcBorders>
              <w:bottom w:val="single" w:sz="4" w:space="0" w:color="auto"/>
            </w:tcBorders>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2013</w:t>
            </w:r>
          </w:p>
          <w:p w:rsidR="00161B1F" w:rsidRDefault="00161B1F" w:rsidP="00E92471">
            <w:pPr>
              <w:widowControl/>
              <w:tabs>
                <w:tab w:val="left" w:pos="900"/>
              </w:tabs>
              <w:spacing w:after="0"/>
              <w:jc w:val="center"/>
              <w:rPr>
                <w:sz w:val="18"/>
                <w:szCs w:val="18"/>
              </w:rPr>
            </w:pPr>
            <w:r>
              <w:rPr>
                <w:sz w:val="18"/>
                <w:szCs w:val="18"/>
              </w:rPr>
              <w:t>2014</w:t>
            </w:r>
          </w:p>
          <w:p w:rsidR="00236C75" w:rsidRPr="00052B45" w:rsidRDefault="00236C75" w:rsidP="00E92471">
            <w:pPr>
              <w:widowControl/>
              <w:tabs>
                <w:tab w:val="left" w:pos="900"/>
              </w:tabs>
              <w:spacing w:after="0"/>
              <w:jc w:val="center"/>
              <w:rPr>
                <w:sz w:val="18"/>
                <w:szCs w:val="18"/>
              </w:rPr>
            </w:pPr>
            <w:r>
              <w:rPr>
                <w:sz w:val="18"/>
                <w:szCs w:val="18"/>
              </w:rPr>
              <w:t>2015</w:t>
            </w:r>
          </w:p>
        </w:tc>
        <w:tc>
          <w:tcPr>
            <w:tcW w:w="981" w:type="dxa"/>
            <w:tcBorders>
              <w:bottom w:val="single" w:sz="4" w:space="0" w:color="auto"/>
            </w:tcBorders>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84,808</w:t>
            </w:r>
          </w:p>
          <w:p w:rsidR="00161B1F" w:rsidRDefault="009D45AA" w:rsidP="00E92471">
            <w:pPr>
              <w:widowControl/>
              <w:tabs>
                <w:tab w:val="left" w:pos="900"/>
              </w:tabs>
              <w:spacing w:after="0"/>
              <w:jc w:val="center"/>
              <w:rPr>
                <w:sz w:val="18"/>
                <w:szCs w:val="18"/>
              </w:rPr>
            </w:pPr>
            <w:r>
              <w:rPr>
                <w:sz w:val="18"/>
                <w:szCs w:val="18"/>
              </w:rPr>
              <w:t>350,000</w:t>
            </w:r>
          </w:p>
          <w:p w:rsidR="00181C0E" w:rsidRPr="00052B45" w:rsidRDefault="009D0FF2" w:rsidP="00E92471">
            <w:pPr>
              <w:widowControl/>
              <w:tabs>
                <w:tab w:val="left" w:pos="900"/>
              </w:tabs>
              <w:spacing w:after="0"/>
              <w:jc w:val="center"/>
              <w:rPr>
                <w:sz w:val="18"/>
                <w:szCs w:val="18"/>
              </w:rPr>
            </w:pPr>
            <w:r>
              <w:rPr>
                <w:sz w:val="18"/>
                <w:szCs w:val="18"/>
              </w:rPr>
              <w:t>200,962</w:t>
            </w:r>
          </w:p>
        </w:tc>
        <w:tc>
          <w:tcPr>
            <w:tcW w:w="981" w:type="dxa"/>
            <w:tcBorders>
              <w:bottom w:val="single" w:sz="4" w:space="0" w:color="auto"/>
            </w:tcBorders>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100,000</w:t>
            </w:r>
          </w:p>
          <w:p w:rsidR="00161B1F" w:rsidRDefault="00DF1503" w:rsidP="00E92471">
            <w:pPr>
              <w:widowControl/>
              <w:tabs>
                <w:tab w:val="left" w:pos="900"/>
              </w:tabs>
              <w:spacing w:after="0"/>
              <w:jc w:val="center"/>
              <w:rPr>
                <w:sz w:val="18"/>
                <w:szCs w:val="18"/>
              </w:rPr>
            </w:pPr>
            <w:r>
              <w:rPr>
                <w:sz w:val="18"/>
                <w:szCs w:val="18"/>
              </w:rPr>
              <w:t>—</w:t>
            </w:r>
          </w:p>
          <w:p w:rsidR="00181C0E" w:rsidRPr="00052B45" w:rsidRDefault="000C554F" w:rsidP="00E92471">
            <w:pPr>
              <w:widowControl/>
              <w:tabs>
                <w:tab w:val="left" w:pos="900"/>
              </w:tabs>
              <w:spacing w:after="0"/>
              <w:jc w:val="center"/>
              <w:rPr>
                <w:sz w:val="18"/>
                <w:szCs w:val="18"/>
              </w:rPr>
            </w:pPr>
            <w:r>
              <w:rPr>
                <w:sz w:val="18"/>
                <w:szCs w:val="18"/>
              </w:rPr>
              <w:t>—</w:t>
            </w:r>
          </w:p>
        </w:tc>
        <w:tc>
          <w:tcPr>
            <w:tcW w:w="985" w:type="dxa"/>
            <w:tcBorders>
              <w:bottom w:val="single" w:sz="4" w:space="0" w:color="auto"/>
            </w:tcBorders>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92</w:t>
            </w:r>
            <w:r>
              <w:rPr>
                <w:sz w:val="18"/>
                <w:szCs w:val="18"/>
              </w:rPr>
              <w:t>,</w:t>
            </w:r>
            <w:r w:rsidRPr="00052B45">
              <w:rPr>
                <w:sz w:val="18"/>
                <w:szCs w:val="18"/>
              </w:rPr>
              <w:t>600</w:t>
            </w:r>
          </w:p>
          <w:p w:rsidR="00161B1F" w:rsidRDefault="00D80646" w:rsidP="00E92471">
            <w:pPr>
              <w:widowControl/>
              <w:tabs>
                <w:tab w:val="left" w:pos="900"/>
              </w:tabs>
              <w:spacing w:after="0"/>
              <w:jc w:val="center"/>
              <w:rPr>
                <w:sz w:val="18"/>
                <w:szCs w:val="18"/>
              </w:rPr>
            </w:pPr>
            <w:r>
              <w:rPr>
                <w:sz w:val="18"/>
                <w:szCs w:val="18"/>
              </w:rPr>
              <w:t>105,000</w:t>
            </w:r>
          </w:p>
          <w:p w:rsidR="00181C0E" w:rsidRPr="00052B45" w:rsidRDefault="000C554F" w:rsidP="00E92471">
            <w:pPr>
              <w:widowControl/>
              <w:tabs>
                <w:tab w:val="left" w:pos="900"/>
              </w:tabs>
              <w:spacing w:after="0"/>
              <w:jc w:val="center"/>
              <w:rPr>
                <w:sz w:val="18"/>
                <w:szCs w:val="18"/>
              </w:rPr>
            </w:pPr>
            <w:r>
              <w:rPr>
                <w:sz w:val="18"/>
                <w:szCs w:val="18"/>
              </w:rPr>
              <w:t>187,501</w:t>
            </w:r>
          </w:p>
        </w:tc>
        <w:tc>
          <w:tcPr>
            <w:tcW w:w="1210" w:type="dxa"/>
            <w:tcBorders>
              <w:bottom w:val="single" w:sz="4" w:space="0" w:color="auto"/>
            </w:tcBorders>
            <w:tcMar>
              <w:top w:w="58" w:type="dxa"/>
              <w:left w:w="115" w:type="dxa"/>
              <w:bottom w:w="58" w:type="dxa"/>
              <w:right w:w="115" w:type="dxa"/>
            </w:tcMar>
            <w:vAlign w:val="bottom"/>
          </w:tcPr>
          <w:p w:rsidR="00591D9E" w:rsidRDefault="00591D9E" w:rsidP="00591D9E">
            <w:pPr>
              <w:widowControl/>
              <w:tabs>
                <w:tab w:val="left" w:pos="900"/>
              </w:tabs>
              <w:spacing w:after="0"/>
              <w:jc w:val="center"/>
              <w:rPr>
                <w:sz w:val="18"/>
                <w:szCs w:val="18"/>
              </w:rPr>
            </w:pPr>
            <w:r w:rsidRPr="00F750A9">
              <w:rPr>
                <w:sz w:val="18"/>
                <w:szCs w:val="18"/>
              </w:rPr>
              <w:t>56,384</w:t>
            </w:r>
          </w:p>
          <w:p w:rsidR="00591D9E" w:rsidRDefault="00591D9E" w:rsidP="00591D9E">
            <w:pPr>
              <w:widowControl/>
              <w:tabs>
                <w:tab w:val="left" w:pos="900"/>
              </w:tabs>
              <w:spacing w:after="0"/>
              <w:jc w:val="center"/>
              <w:rPr>
                <w:sz w:val="18"/>
                <w:szCs w:val="18"/>
              </w:rPr>
            </w:pPr>
            <w:r>
              <w:rPr>
                <w:sz w:val="18"/>
                <w:szCs w:val="18"/>
              </w:rPr>
              <w:t>105,000</w:t>
            </w:r>
          </w:p>
          <w:p w:rsidR="0051424B" w:rsidRPr="00052B45" w:rsidRDefault="00156AD0" w:rsidP="00591D9E">
            <w:pPr>
              <w:widowControl/>
              <w:tabs>
                <w:tab w:val="left" w:pos="900"/>
              </w:tabs>
              <w:spacing w:after="0"/>
              <w:jc w:val="center"/>
              <w:rPr>
                <w:sz w:val="18"/>
                <w:szCs w:val="18"/>
              </w:rPr>
            </w:pPr>
            <w:r>
              <w:rPr>
                <w:sz w:val="18"/>
                <w:szCs w:val="18"/>
              </w:rPr>
              <w:t>—</w:t>
            </w:r>
          </w:p>
        </w:tc>
        <w:tc>
          <w:tcPr>
            <w:tcW w:w="950" w:type="dxa"/>
            <w:tcBorders>
              <w:bottom w:val="single" w:sz="4" w:space="0" w:color="auto"/>
            </w:tcBorders>
            <w:tcMar>
              <w:top w:w="58" w:type="dxa"/>
              <w:left w:w="115" w:type="dxa"/>
              <w:bottom w:w="58" w:type="dxa"/>
              <w:right w:w="115" w:type="dxa"/>
            </w:tcMar>
            <w:vAlign w:val="bottom"/>
          </w:tcPr>
          <w:p w:rsidR="00A27F1E" w:rsidRDefault="00A27F1E" w:rsidP="00E92471">
            <w:pPr>
              <w:widowControl/>
              <w:tabs>
                <w:tab w:val="left" w:pos="900"/>
              </w:tabs>
              <w:spacing w:after="0"/>
              <w:jc w:val="center"/>
              <w:rPr>
                <w:sz w:val="18"/>
                <w:szCs w:val="18"/>
              </w:rPr>
            </w:pPr>
            <w:r w:rsidRPr="00052B45">
              <w:rPr>
                <w:sz w:val="18"/>
                <w:szCs w:val="18"/>
              </w:rPr>
              <w:t>43,502</w:t>
            </w:r>
          </w:p>
          <w:p w:rsidR="00161B1F" w:rsidRDefault="00C70D08" w:rsidP="00E92471">
            <w:pPr>
              <w:widowControl/>
              <w:tabs>
                <w:tab w:val="left" w:pos="900"/>
              </w:tabs>
              <w:spacing w:after="0"/>
              <w:jc w:val="center"/>
              <w:rPr>
                <w:sz w:val="18"/>
                <w:szCs w:val="18"/>
              </w:rPr>
            </w:pPr>
            <w:r>
              <w:rPr>
                <w:sz w:val="18"/>
                <w:szCs w:val="18"/>
              </w:rPr>
              <w:t>22,740</w:t>
            </w:r>
          </w:p>
          <w:p w:rsidR="0051424B" w:rsidRPr="00052B45" w:rsidRDefault="001215A5" w:rsidP="001215A5">
            <w:pPr>
              <w:widowControl/>
              <w:tabs>
                <w:tab w:val="left" w:pos="900"/>
              </w:tabs>
              <w:spacing w:after="0"/>
              <w:rPr>
                <w:sz w:val="18"/>
                <w:szCs w:val="18"/>
              </w:rPr>
            </w:pPr>
            <w:r>
              <w:rPr>
                <w:sz w:val="18"/>
                <w:szCs w:val="18"/>
              </w:rPr>
              <w:t>449,618</w:t>
            </w:r>
          </w:p>
        </w:tc>
        <w:tc>
          <w:tcPr>
            <w:tcW w:w="950" w:type="dxa"/>
            <w:tcBorders>
              <w:bottom w:val="single" w:sz="4" w:space="0" w:color="auto"/>
            </w:tcBorders>
            <w:tcMar>
              <w:top w:w="58" w:type="dxa"/>
              <w:left w:w="115" w:type="dxa"/>
              <w:bottom w:w="58" w:type="dxa"/>
              <w:right w:w="115" w:type="dxa"/>
            </w:tcMar>
            <w:vAlign w:val="bottom"/>
          </w:tcPr>
          <w:p w:rsidR="00A27F1E" w:rsidRDefault="00F750A9" w:rsidP="00E92471">
            <w:pPr>
              <w:widowControl/>
              <w:tabs>
                <w:tab w:val="left" w:pos="900"/>
              </w:tabs>
              <w:spacing w:after="0"/>
              <w:jc w:val="center"/>
              <w:rPr>
                <w:sz w:val="18"/>
                <w:szCs w:val="18"/>
              </w:rPr>
            </w:pPr>
            <w:r w:rsidRPr="00F750A9">
              <w:rPr>
                <w:sz w:val="18"/>
                <w:szCs w:val="18"/>
              </w:rPr>
              <w:t>377,294</w:t>
            </w:r>
          </w:p>
          <w:p w:rsidR="00161B1F" w:rsidRDefault="00C70D08" w:rsidP="00E92471">
            <w:pPr>
              <w:widowControl/>
              <w:tabs>
                <w:tab w:val="left" w:pos="900"/>
              </w:tabs>
              <w:spacing w:after="0"/>
              <w:jc w:val="center"/>
              <w:rPr>
                <w:sz w:val="18"/>
                <w:szCs w:val="18"/>
              </w:rPr>
            </w:pPr>
            <w:r>
              <w:rPr>
                <w:sz w:val="18"/>
                <w:szCs w:val="18"/>
              </w:rPr>
              <w:t>582,740</w:t>
            </w:r>
          </w:p>
          <w:p w:rsidR="001215A5" w:rsidRPr="00052B45" w:rsidRDefault="001215A5" w:rsidP="001215A5">
            <w:pPr>
              <w:widowControl/>
              <w:tabs>
                <w:tab w:val="left" w:pos="900"/>
              </w:tabs>
              <w:spacing w:after="0"/>
              <w:jc w:val="center"/>
              <w:rPr>
                <w:sz w:val="18"/>
                <w:szCs w:val="18"/>
              </w:rPr>
            </w:pPr>
            <w:r>
              <w:rPr>
                <w:sz w:val="18"/>
                <w:szCs w:val="18"/>
              </w:rPr>
              <w:t>838,801</w:t>
            </w:r>
          </w:p>
        </w:tc>
      </w:tr>
    </w:tbl>
    <w:p w:rsidR="000A204C" w:rsidRPr="002C2CD6" w:rsidRDefault="000A204C" w:rsidP="002C2CD6">
      <w:pPr>
        <w:pStyle w:val="ListParagraph"/>
        <w:keepNext/>
        <w:widowControl/>
        <w:numPr>
          <w:ilvl w:val="0"/>
          <w:numId w:val="45"/>
        </w:numPr>
        <w:tabs>
          <w:tab w:val="left" w:pos="450"/>
        </w:tabs>
        <w:spacing w:before="100" w:after="60"/>
        <w:contextualSpacing w:val="0"/>
        <w:jc w:val="left"/>
        <w:rPr>
          <w:sz w:val="20"/>
        </w:rPr>
      </w:pPr>
      <w:r w:rsidRPr="002C2CD6">
        <w:rPr>
          <w:sz w:val="20"/>
        </w:rPr>
        <w:lastRenderedPageBreak/>
        <w:t xml:space="preserve">This is the aggregate grant date fair value computed in accordance with Financial Accounting Standards Board (FASB) Accounting Standards Codification (ASC) Topic 718, namely the number of shares of common stock multiplied by the closing price of the Company's common stock on the award date or in the case of incentive compensation plan shares, the price at which the number of shares was calculated.  The accounting for stock awards is described in Note </w:t>
      </w:r>
      <w:r w:rsidR="00C61D77">
        <w:rPr>
          <w:sz w:val="20"/>
        </w:rPr>
        <w:t xml:space="preserve">14 </w:t>
      </w:r>
      <w:r w:rsidRPr="002C2CD6">
        <w:rPr>
          <w:sz w:val="20"/>
        </w:rPr>
        <w:t xml:space="preserve">of Notes to Consolidated Financial Statements in the Company's Annual Report on Form 10-K for the year ended December 31, 2015.  </w:t>
      </w:r>
    </w:p>
    <w:p w:rsidR="002C2CD6" w:rsidRDefault="00E61D9E" w:rsidP="002C2CD6">
      <w:pPr>
        <w:pStyle w:val="ListParagraph"/>
        <w:widowControl/>
        <w:tabs>
          <w:tab w:val="left" w:pos="450"/>
        </w:tabs>
        <w:spacing w:after="60"/>
        <w:ind w:left="446"/>
        <w:contextualSpacing w:val="0"/>
        <w:jc w:val="left"/>
        <w:rPr>
          <w:sz w:val="20"/>
        </w:rPr>
      </w:pPr>
      <w:r>
        <w:rPr>
          <w:sz w:val="20"/>
        </w:rPr>
        <w:t xml:space="preserve">In this column, for Messrs. </w:t>
      </w:r>
      <w:r w:rsidR="008D60A9">
        <w:rPr>
          <w:sz w:val="20"/>
        </w:rPr>
        <w:t xml:space="preserve">Blair and Wright, their 2015 </w:t>
      </w:r>
      <w:r w:rsidR="004B554B">
        <w:rPr>
          <w:sz w:val="20"/>
        </w:rPr>
        <w:t>long-term incentive compensation was</w:t>
      </w:r>
      <w:r w:rsidR="000A44A7">
        <w:rPr>
          <w:sz w:val="20"/>
        </w:rPr>
        <w:t xml:space="preserve"> </w:t>
      </w:r>
      <w:r w:rsidR="002C2CD6" w:rsidRPr="00347C91">
        <w:rPr>
          <w:sz w:val="20"/>
        </w:rPr>
        <w:t>computed in dollars</w:t>
      </w:r>
      <w:r w:rsidR="000A44A7">
        <w:rPr>
          <w:sz w:val="20"/>
        </w:rPr>
        <w:t xml:space="preserve"> </w:t>
      </w:r>
      <w:r w:rsidR="004B554B">
        <w:rPr>
          <w:sz w:val="20"/>
        </w:rPr>
        <w:t xml:space="preserve">but </w:t>
      </w:r>
      <w:r w:rsidR="002C2CD6">
        <w:rPr>
          <w:sz w:val="20"/>
        </w:rPr>
        <w:t xml:space="preserve">paid </w:t>
      </w:r>
      <w:r w:rsidR="002C2CD6" w:rsidRPr="00347C91">
        <w:rPr>
          <w:sz w:val="20"/>
        </w:rPr>
        <w:t xml:space="preserve">in </w:t>
      </w:r>
      <w:r w:rsidR="004B554B">
        <w:rPr>
          <w:sz w:val="20"/>
        </w:rPr>
        <w:t xml:space="preserve">the form of </w:t>
      </w:r>
      <w:r w:rsidR="002C2CD6">
        <w:rPr>
          <w:sz w:val="20"/>
        </w:rPr>
        <w:t xml:space="preserve">shares of </w:t>
      </w:r>
      <w:r w:rsidR="002C2CD6" w:rsidRPr="00347C91">
        <w:rPr>
          <w:sz w:val="20"/>
        </w:rPr>
        <w:t>restricted stock</w:t>
      </w:r>
      <w:r w:rsidR="004B554B">
        <w:rPr>
          <w:sz w:val="20"/>
        </w:rPr>
        <w:t xml:space="preserve"> that vest after three years if they remain with the Company</w:t>
      </w:r>
      <w:r w:rsidR="00975062">
        <w:rPr>
          <w:sz w:val="20"/>
        </w:rPr>
        <w:t>, 3,971 shares for Mr. Blair and 29,781 shares for Mr. Wright</w:t>
      </w:r>
      <w:r w:rsidR="002C2CD6">
        <w:rPr>
          <w:sz w:val="20"/>
        </w:rPr>
        <w:t xml:space="preserve">.  </w:t>
      </w:r>
      <w:r>
        <w:rPr>
          <w:sz w:val="20"/>
        </w:rPr>
        <w:t>Under the 2015 plan, t</w:t>
      </w:r>
      <w:r w:rsidR="002C2CD6" w:rsidRPr="00347C91">
        <w:rPr>
          <w:sz w:val="20"/>
        </w:rPr>
        <w:t xml:space="preserve">he number of shares </w:t>
      </w:r>
      <w:r w:rsidR="004B554B">
        <w:rPr>
          <w:sz w:val="20"/>
        </w:rPr>
        <w:t>was</w:t>
      </w:r>
      <w:r w:rsidR="002C2CD6" w:rsidRPr="00347C91">
        <w:rPr>
          <w:sz w:val="20"/>
        </w:rPr>
        <w:t xml:space="preserve"> based on the simple average closing price of the Company's common stock during December </w:t>
      </w:r>
      <w:r w:rsidR="002C2CD6">
        <w:rPr>
          <w:sz w:val="20"/>
        </w:rPr>
        <w:t>201</w:t>
      </w:r>
      <w:r w:rsidR="009932AE">
        <w:rPr>
          <w:sz w:val="20"/>
        </w:rPr>
        <w:t>4</w:t>
      </w:r>
      <w:r w:rsidR="002C2CD6">
        <w:rPr>
          <w:sz w:val="20"/>
        </w:rPr>
        <w:t xml:space="preserve">, </w:t>
      </w:r>
      <w:r w:rsidR="002C2CD6" w:rsidRPr="00347C91">
        <w:rPr>
          <w:sz w:val="20"/>
        </w:rPr>
        <w:t>$</w:t>
      </w:r>
      <w:r w:rsidR="009932AE">
        <w:rPr>
          <w:sz w:val="20"/>
        </w:rPr>
        <w:t>6.296</w:t>
      </w:r>
      <w:r w:rsidR="002C2CD6">
        <w:rPr>
          <w:sz w:val="20"/>
        </w:rPr>
        <w:t xml:space="preserve"> </w:t>
      </w:r>
      <w:r w:rsidR="002C2CD6" w:rsidRPr="00347C91">
        <w:rPr>
          <w:sz w:val="20"/>
        </w:rPr>
        <w:t>per share.</w:t>
      </w:r>
      <w:r w:rsidR="002C2CD6">
        <w:rPr>
          <w:sz w:val="20"/>
        </w:rPr>
        <w:t xml:space="preserve">  </w:t>
      </w:r>
    </w:p>
    <w:p w:rsidR="003B6A12" w:rsidRDefault="000A204C" w:rsidP="003B6A12">
      <w:pPr>
        <w:widowControl/>
        <w:tabs>
          <w:tab w:val="left" w:pos="450"/>
        </w:tabs>
        <w:spacing w:before="100" w:after="60"/>
        <w:ind w:left="450" w:hanging="364"/>
        <w:jc w:val="left"/>
        <w:rPr>
          <w:sz w:val="20"/>
        </w:rPr>
      </w:pPr>
      <w:r>
        <w:rPr>
          <w:sz w:val="20"/>
        </w:rPr>
        <w:t>(2)</w:t>
      </w:r>
      <w:r>
        <w:rPr>
          <w:sz w:val="20"/>
        </w:rPr>
        <w:tab/>
      </w:r>
      <w:r w:rsidRPr="000A5F12">
        <w:rPr>
          <w:sz w:val="20"/>
        </w:rPr>
        <w:t>A breakdown of the amounts shown in this column is set forth in the</w:t>
      </w:r>
      <w:r>
        <w:rPr>
          <w:sz w:val="20"/>
        </w:rPr>
        <w:t xml:space="preserve"> </w:t>
      </w:r>
      <w:r w:rsidRPr="000A5F12">
        <w:rPr>
          <w:sz w:val="20"/>
        </w:rPr>
        <w:t>table</w:t>
      </w:r>
      <w:r>
        <w:rPr>
          <w:sz w:val="20"/>
        </w:rPr>
        <w:t xml:space="preserve"> below</w:t>
      </w:r>
      <w:r w:rsidR="00ED2F47">
        <w:rPr>
          <w:sz w:val="20"/>
        </w:rPr>
        <w:t xml:space="preserve"> except with respect to a directors' fee paid to Mr. Varello</w:t>
      </w:r>
      <w:r w:rsidR="00D20C5A">
        <w:rPr>
          <w:sz w:val="20"/>
        </w:rPr>
        <w:t xml:space="preserve"> </w:t>
      </w:r>
      <w:r w:rsidR="008B6384">
        <w:rPr>
          <w:sz w:val="20"/>
        </w:rPr>
        <w:t>that is included in his other compensation</w:t>
      </w:r>
      <w:r w:rsidR="00ED2F47">
        <w:rPr>
          <w:sz w:val="20"/>
        </w:rPr>
        <w:t xml:space="preserve">.  </w:t>
      </w:r>
      <w:r w:rsidR="00ED2F47" w:rsidRPr="00ED2F47">
        <w:rPr>
          <w:sz w:val="20"/>
        </w:rPr>
        <w:t xml:space="preserve">Mr. Varello was paid directors' fees of $10,833 during 2015 for the period </w:t>
      </w:r>
      <w:r w:rsidR="00ED2F47">
        <w:rPr>
          <w:sz w:val="20"/>
        </w:rPr>
        <w:t xml:space="preserve">during which </w:t>
      </w:r>
      <w:r w:rsidR="00ED2F47" w:rsidRPr="00ED2F47">
        <w:rPr>
          <w:sz w:val="20"/>
        </w:rPr>
        <w:t xml:space="preserve">he was a director </w:t>
      </w:r>
      <w:r w:rsidR="008B6384">
        <w:rPr>
          <w:sz w:val="20"/>
        </w:rPr>
        <w:t>but</w:t>
      </w:r>
      <w:r w:rsidR="00ED2F47">
        <w:rPr>
          <w:sz w:val="20"/>
        </w:rPr>
        <w:t xml:space="preserve"> not </w:t>
      </w:r>
      <w:r w:rsidR="00ED2F47" w:rsidRPr="00ED2F47">
        <w:rPr>
          <w:sz w:val="20"/>
        </w:rPr>
        <w:t xml:space="preserve">an employee of the Company.  </w:t>
      </w:r>
    </w:p>
    <w:p w:rsidR="000A204C" w:rsidRDefault="00AA566F" w:rsidP="003B6A12">
      <w:pPr>
        <w:widowControl/>
        <w:tabs>
          <w:tab w:val="left" w:pos="450"/>
        </w:tabs>
        <w:spacing w:before="100" w:after="60"/>
        <w:ind w:left="446" w:hanging="360"/>
        <w:jc w:val="left"/>
        <w:rPr>
          <w:sz w:val="20"/>
        </w:rPr>
      </w:pPr>
      <w:r>
        <w:rPr>
          <w:sz w:val="20"/>
        </w:rPr>
        <w:t>(</w:t>
      </w:r>
      <w:r w:rsidR="009C72F2">
        <w:rPr>
          <w:sz w:val="20"/>
        </w:rPr>
        <w:t>3</w:t>
      </w:r>
      <w:r>
        <w:rPr>
          <w:sz w:val="20"/>
        </w:rPr>
        <w:t>)</w:t>
      </w:r>
      <w:r>
        <w:rPr>
          <w:sz w:val="20"/>
        </w:rPr>
        <w:tab/>
      </w:r>
      <w:r w:rsidR="004C59E7" w:rsidRPr="00AA566F">
        <w:rPr>
          <w:sz w:val="20"/>
        </w:rPr>
        <w:t>Mr. Varello</w:t>
      </w:r>
      <w:r w:rsidR="000A204C">
        <w:rPr>
          <w:sz w:val="20"/>
        </w:rPr>
        <w:t>'s stock award</w:t>
      </w:r>
      <w:r w:rsidR="004C59E7" w:rsidRPr="00AA566F">
        <w:rPr>
          <w:sz w:val="20"/>
        </w:rPr>
        <w:t xml:space="preserve"> represent</w:t>
      </w:r>
      <w:r w:rsidR="000A204C">
        <w:rPr>
          <w:sz w:val="20"/>
        </w:rPr>
        <w:t>s</w:t>
      </w:r>
      <w:r w:rsidR="004C59E7" w:rsidRPr="00AA566F">
        <w:rPr>
          <w:sz w:val="20"/>
        </w:rPr>
        <w:t xml:space="preserve"> a special</w:t>
      </w:r>
      <w:r w:rsidR="00AC156C">
        <w:rPr>
          <w:sz w:val="20"/>
        </w:rPr>
        <w:t>, one-time</w:t>
      </w:r>
      <w:r w:rsidR="004C59E7" w:rsidRPr="00AA566F">
        <w:rPr>
          <w:sz w:val="20"/>
        </w:rPr>
        <w:t xml:space="preserve"> stock award (approved by stockholders at the 2015 Annual Meeting) that is in lieu of a cash salary.  </w:t>
      </w:r>
    </w:p>
    <w:p w:rsidR="004C59E7" w:rsidRPr="00AA566F" w:rsidRDefault="000A204C" w:rsidP="003B6A12">
      <w:pPr>
        <w:widowControl/>
        <w:tabs>
          <w:tab w:val="left" w:pos="450"/>
        </w:tabs>
        <w:spacing w:before="100" w:after="60"/>
        <w:ind w:left="446" w:hanging="360"/>
        <w:jc w:val="left"/>
        <w:rPr>
          <w:sz w:val="20"/>
        </w:rPr>
      </w:pPr>
      <w:r>
        <w:rPr>
          <w:sz w:val="20"/>
        </w:rPr>
        <w:t>(4)</w:t>
      </w:r>
      <w:r>
        <w:rPr>
          <w:sz w:val="20"/>
        </w:rPr>
        <w:tab/>
      </w:r>
      <w:r w:rsidR="00235FA7" w:rsidRPr="00235FA7">
        <w:rPr>
          <w:sz w:val="20"/>
        </w:rPr>
        <w:t xml:space="preserve">Mr. Ballschmiede served as a consultant to the Company's Audit Committee for several weeks prior to being hired as Chief Financial Officer, for which work he was paid $97,809, the amount set forth above under All Other Compensation.  </w:t>
      </w:r>
      <w:r w:rsidR="004C59E7" w:rsidRPr="00AA566F">
        <w:rPr>
          <w:sz w:val="20"/>
        </w:rPr>
        <w:t xml:space="preserve">Mr. Ballschmiede's shares were awarded to him in connection with </w:t>
      </w:r>
      <w:r w:rsidR="00F74FF2">
        <w:rPr>
          <w:sz w:val="20"/>
        </w:rPr>
        <w:t>h</w:t>
      </w:r>
      <w:r w:rsidR="004C59E7" w:rsidRPr="00AA566F">
        <w:rPr>
          <w:sz w:val="20"/>
        </w:rPr>
        <w:t xml:space="preserve">is joining the Company and becoming Chief Financial Officer.  </w:t>
      </w:r>
    </w:p>
    <w:p w:rsidR="00643BF3" w:rsidRDefault="00643BF3" w:rsidP="000A44A7">
      <w:pPr>
        <w:widowControl/>
        <w:tabs>
          <w:tab w:val="left" w:pos="450"/>
        </w:tabs>
        <w:spacing w:after="60"/>
        <w:ind w:left="446" w:hanging="360"/>
        <w:jc w:val="left"/>
        <w:rPr>
          <w:sz w:val="20"/>
        </w:rPr>
      </w:pPr>
      <w:r>
        <w:rPr>
          <w:sz w:val="20"/>
        </w:rPr>
        <w:t>(5)</w:t>
      </w:r>
      <w:r>
        <w:rPr>
          <w:sz w:val="20"/>
        </w:rPr>
        <w:tab/>
        <w:t xml:space="preserve">While in prior years part of Mr. Barzun's total compensation for the year </w:t>
      </w:r>
      <w:r w:rsidR="000A44A7">
        <w:rPr>
          <w:sz w:val="20"/>
        </w:rPr>
        <w:t>w</w:t>
      </w:r>
      <w:r w:rsidR="00F732C6">
        <w:rPr>
          <w:sz w:val="20"/>
        </w:rPr>
        <w:t xml:space="preserve">as characterized as a </w:t>
      </w:r>
      <w:r>
        <w:rPr>
          <w:sz w:val="20"/>
        </w:rPr>
        <w:t>bonus</w:t>
      </w:r>
      <w:r w:rsidR="000A44A7">
        <w:rPr>
          <w:sz w:val="20"/>
        </w:rPr>
        <w:t>,</w:t>
      </w:r>
      <w:r>
        <w:rPr>
          <w:sz w:val="20"/>
        </w:rPr>
        <w:t xml:space="preserve"> the Compensation Committee has determined that, more appropriately, </w:t>
      </w:r>
      <w:r w:rsidR="000B08ED" w:rsidRPr="000B08ED">
        <w:rPr>
          <w:sz w:val="20"/>
        </w:rPr>
        <w:t>Mr. Barzun</w:t>
      </w:r>
      <w:r w:rsidR="000B08ED">
        <w:rPr>
          <w:sz w:val="20"/>
        </w:rPr>
        <w:t>'s contractual salary</w:t>
      </w:r>
      <w:r w:rsidR="000B08ED" w:rsidRPr="000B08ED">
        <w:rPr>
          <w:sz w:val="20"/>
        </w:rPr>
        <w:t xml:space="preserve"> is a</w:t>
      </w:r>
      <w:r w:rsidR="000B08ED">
        <w:rPr>
          <w:sz w:val="20"/>
        </w:rPr>
        <w:t>n</w:t>
      </w:r>
      <w:r w:rsidR="000B08ED" w:rsidRPr="000B08ED">
        <w:rPr>
          <w:sz w:val="20"/>
        </w:rPr>
        <w:t xml:space="preserve"> annual retainer for the performance of routine matters, which, after the end of the year is subject to increase by an amount that the Compensation Committee believes reflects appropriate compensation for the non-routine matters on which he worked during the year. </w:t>
      </w:r>
      <w:r w:rsidR="000B08ED">
        <w:rPr>
          <w:sz w:val="20"/>
        </w:rPr>
        <w:t xml:space="preserve"> </w:t>
      </w:r>
    </w:p>
    <w:p w:rsidR="008D60A9" w:rsidRPr="008D60A9" w:rsidRDefault="003B6A12" w:rsidP="008D60A9">
      <w:pPr>
        <w:widowControl/>
        <w:tabs>
          <w:tab w:val="left" w:pos="450"/>
        </w:tabs>
        <w:spacing w:before="100" w:after="60"/>
        <w:ind w:left="450" w:hanging="364"/>
        <w:jc w:val="left"/>
        <w:rPr>
          <w:sz w:val="20"/>
        </w:rPr>
      </w:pPr>
      <w:r>
        <w:rPr>
          <w:sz w:val="20"/>
        </w:rPr>
        <w:t>(6)</w:t>
      </w:r>
      <w:r>
        <w:rPr>
          <w:sz w:val="20"/>
        </w:rPr>
        <w:tab/>
        <w:t xml:space="preserve">Of </w:t>
      </w:r>
      <w:r w:rsidR="00E04051">
        <w:rPr>
          <w:sz w:val="20"/>
        </w:rPr>
        <w:t xml:space="preserve">Mr. Blair's </w:t>
      </w:r>
      <w:r>
        <w:rPr>
          <w:sz w:val="20"/>
        </w:rPr>
        <w:t>2015</w:t>
      </w:r>
      <w:r w:rsidRPr="009C72F2">
        <w:rPr>
          <w:sz w:val="20"/>
        </w:rPr>
        <w:t xml:space="preserve"> bonus</w:t>
      </w:r>
      <w:r w:rsidR="00E04051">
        <w:rPr>
          <w:sz w:val="20"/>
        </w:rPr>
        <w:t xml:space="preserve"> amount</w:t>
      </w:r>
      <w:r>
        <w:rPr>
          <w:sz w:val="20"/>
        </w:rPr>
        <w:t>, $25,000</w:t>
      </w:r>
      <w:r w:rsidRPr="009C72F2">
        <w:rPr>
          <w:sz w:val="20"/>
        </w:rPr>
        <w:t xml:space="preserve"> was in recognition of the excellent job he did in undertaking the </w:t>
      </w:r>
      <w:r w:rsidR="00E04051">
        <w:rPr>
          <w:sz w:val="20"/>
        </w:rPr>
        <w:t xml:space="preserve">interim </w:t>
      </w:r>
      <w:r w:rsidRPr="009C72F2">
        <w:rPr>
          <w:sz w:val="20"/>
        </w:rPr>
        <w:t xml:space="preserve">Chief Financial Officer </w:t>
      </w:r>
      <w:r w:rsidR="00E04051">
        <w:rPr>
          <w:sz w:val="20"/>
        </w:rPr>
        <w:t xml:space="preserve">role </w:t>
      </w:r>
      <w:r w:rsidRPr="009C72F2">
        <w:rPr>
          <w:sz w:val="20"/>
        </w:rPr>
        <w:t>on short notice</w:t>
      </w:r>
      <w:r w:rsidR="00E04051">
        <w:rPr>
          <w:sz w:val="20"/>
        </w:rPr>
        <w:t xml:space="preserve"> in July 2015</w:t>
      </w:r>
      <w:r>
        <w:rPr>
          <w:sz w:val="20"/>
        </w:rPr>
        <w:t xml:space="preserve">, </w:t>
      </w:r>
      <w:r w:rsidRPr="00E6429F">
        <w:rPr>
          <w:sz w:val="20"/>
        </w:rPr>
        <w:t xml:space="preserve">and $50,000 was </w:t>
      </w:r>
      <w:r w:rsidR="000A44A7" w:rsidRPr="00E6429F">
        <w:rPr>
          <w:sz w:val="20"/>
        </w:rPr>
        <w:t xml:space="preserve">in lieu of what he would have earned had he been able to participate </w:t>
      </w:r>
      <w:r w:rsidRPr="00E6429F">
        <w:rPr>
          <w:sz w:val="20"/>
        </w:rPr>
        <w:t xml:space="preserve">in the Company's 2015 Short-Term Incentive Compensation Program.  </w:t>
      </w:r>
    </w:p>
    <w:tbl>
      <w:tblPr>
        <w:tblStyle w:val="TableGrid"/>
        <w:tblW w:w="106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630"/>
        <w:gridCol w:w="1288"/>
        <w:gridCol w:w="42"/>
        <w:gridCol w:w="1308"/>
        <w:gridCol w:w="42"/>
        <w:gridCol w:w="990"/>
        <w:gridCol w:w="42"/>
        <w:gridCol w:w="1024"/>
        <w:gridCol w:w="42"/>
        <w:gridCol w:w="1111"/>
        <w:gridCol w:w="42"/>
        <w:gridCol w:w="860"/>
        <w:gridCol w:w="42"/>
        <w:gridCol w:w="1166"/>
        <w:gridCol w:w="26"/>
      </w:tblGrid>
      <w:tr w:rsidR="005E21A4" w:rsidTr="005E21A4">
        <w:trPr>
          <w:cantSplit/>
          <w:tblHeader/>
          <w:jc w:val="center"/>
        </w:trPr>
        <w:tc>
          <w:tcPr>
            <w:tcW w:w="10672" w:type="dxa"/>
            <w:gridSpan w:val="16"/>
            <w:tcBorders>
              <w:bottom w:val="single" w:sz="4" w:space="0" w:color="auto"/>
            </w:tcBorders>
            <w:tcMar>
              <w:top w:w="58" w:type="dxa"/>
              <w:left w:w="115" w:type="dxa"/>
              <w:bottom w:w="0" w:type="dxa"/>
              <w:right w:w="115" w:type="dxa"/>
            </w:tcMar>
            <w:vAlign w:val="bottom"/>
          </w:tcPr>
          <w:p w:rsidR="005E21A4" w:rsidRPr="005E21A4" w:rsidRDefault="005E21A4" w:rsidP="005E21A4">
            <w:pPr>
              <w:keepNext/>
              <w:widowControl/>
              <w:tabs>
                <w:tab w:val="left" w:pos="360"/>
              </w:tabs>
              <w:spacing w:after="0"/>
              <w:jc w:val="center"/>
              <w:rPr>
                <w:b/>
                <w:sz w:val="22"/>
                <w:szCs w:val="22"/>
              </w:rPr>
            </w:pPr>
            <w:r w:rsidRPr="005E21A4">
              <w:rPr>
                <w:b/>
                <w:sz w:val="22"/>
                <w:szCs w:val="22"/>
              </w:rPr>
              <w:t>All Other Compensation</w:t>
            </w:r>
          </w:p>
        </w:tc>
      </w:tr>
      <w:tr w:rsidR="00F559AA" w:rsidRPr="008348B1" w:rsidTr="00F74FF2">
        <w:trPr>
          <w:gridAfter w:val="1"/>
          <w:wAfter w:w="26" w:type="dxa"/>
          <w:cantSplit/>
          <w:tblHeader/>
          <w:jc w:val="center"/>
        </w:trPr>
        <w:tc>
          <w:tcPr>
            <w:tcW w:w="2017" w:type="dxa"/>
            <w:tcBorders>
              <w:bottom w:val="single" w:sz="4" w:space="0" w:color="auto"/>
            </w:tcBorders>
            <w:tcMar>
              <w:top w:w="58" w:type="dxa"/>
              <w:left w:w="115" w:type="dxa"/>
              <w:bottom w:w="58" w:type="dxa"/>
              <w:right w:w="115" w:type="dxa"/>
            </w:tcMar>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Name</w:t>
            </w:r>
          </w:p>
        </w:tc>
        <w:tc>
          <w:tcPr>
            <w:tcW w:w="630" w:type="dxa"/>
            <w:tcBorders>
              <w:bottom w:val="single" w:sz="4" w:space="0" w:color="auto"/>
            </w:tcBorders>
            <w:tcMar>
              <w:top w:w="58" w:type="dxa"/>
              <w:left w:w="115" w:type="dxa"/>
              <w:bottom w:w="58" w:type="dxa"/>
              <w:right w:w="115" w:type="dxa"/>
            </w:tcMar>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Year</w:t>
            </w:r>
          </w:p>
        </w:tc>
        <w:tc>
          <w:tcPr>
            <w:tcW w:w="1288" w:type="dxa"/>
            <w:tcBorders>
              <w:bottom w:val="single" w:sz="4" w:space="0" w:color="auto"/>
            </w:tcBorders>
            <w:tcMar>
              <w:top w:w="58" w:type="dxa"/>
              <w:left w:w="115" w:type="dxa"/>
              <w:bottom w:w="58" w:type="dxa"/>
              <w:right w:w="115" w:type="dxa"/>
            </w:tcMar>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Company Contribution to 401(k) Plan Account</w:t>
            </w:r>
          </w:p>
          <w:p w:rsidR="00F559AA" w:rsidRPr="008348B1" w:rsidRDefault="00F559AA" w:rsidP="000D0AFE">
            <w:pPr>
              <w:widowControl/>
              <w:tabs>
                <w:tab w:val="left" w:pos="360"/>
              </w:tabs>
              <w:spacing w:after="0"/>
              <w:jc w:val="center"/>
              <w:rPr>
                <w:b/>
                <w:sz w:val="18"/>
                <w:szCs w:val="18"/>
              </w:rPr>
            </w:pPr>
            <w:r w:rsidRPr="008348B1">
              <w:rPr>
                <w:b/>
                <w:sz w:val="18"/>
                <w:szCs w:val="18"/>
              </w:rPr>
              <w:t>($)</w:t>
            </w:r>
          </w:p>
        </w:tc>
        <w:tc>
          <w:tcPr>
            <w:tcW w:w="1350" w:type="dxa"/>
            <w:gridSpan w:val="2"/>
            <w:tcBorders>
              <w:bottom w:val="single" w:sz="4" w:space="0" w:color="auto"/>
            </w:tcBorders>
            <w:tcMar>
              <w:top w:w="58" w:type="dxa"/>
              <w:left w:w="115" w:type="dxa"/>
              <w:bottom w:w="58" w:type="dxa"/>
              <w:right w:w="115" w:type="dxa"/>
            </w:tcMar>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Relocation Expenses Paid or Reimbursed by the Company</w:t>
            </w:r>
          </w:p>
          <w:p w:rsidR="00F559AA" w:rsidRPr="008348B1" w:rsidRDefault="00F559AA" w:rsidP="00456396">
            <w:pPr>
              <w:widowControl/>
              <w:tabs>
                <w:tab w:val="left" w:pos="360"/>
              </w:tabs>
              <w:spacing w:after="0"/>
              <w:jc w:val="center"/>
              <w:rPr>
                <w:b/>
                <w:sz w:val="18"/>
                <w:szCs w:val="18"/>
              </w:rPr>
            </w:pPr>
            <w:r w:rsidRPr="008348B1">
              <w:rPr>
                <w:b/>
                <w:sz w:val="18"/>
                <w:szCs w:val="18"/>
              </w:rPr>
              <w:t>($)</w:t>
            </w:r>
          </w:p>
        </w:tc>
        <w:tc>
          <w:tcPr>
            <w:tcW w:w="1032" w:type="dxa"/>
            <w:gridSpan w:val="2"/>
            <w:tcBorders>
              <w:bottom w:val="single" w:sz="4" w:space="0" w:color="auto"/>
            </w:tcBorders>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Tax Gross-Ups</w:t>
            </w:r>
          </w:p>
          <w:p w:rsidR="00F559AA" w:rsidRPr="008348B1" w:rsidRDefault="00F559AA" w:rsidP="000D0AFE">
            <w:pPr>
              <w:widowControl/>
              <w:tabs>
                <w:tab w:val="left" w:pos="360"/>
              </w:tabs>
              <w:spacing w:after="0"/>
              <w:jc w:val="center"/>
              <w:rPr>
                <w:b/>
                <w:sz w:val="18"/>
                <w:szCs w:val="18"/>
              </w:rPr>
            </w:pPr>
            <w:r w:rsidRPr="008348B1">
              <w:rPr>
                <w:b/>
                <w:sz w:val="18"/>
                <w:szCs w:val="18"/>
              </w:rPr>
              <w:t>($)</w:t>
            </w:r>
          </w:p>
        </w:tc>
        <w:tc>
          <w:tcPr>
            <w:tcW w:w="1066" w:type="dxa"/>
            <w:gridSpan w:val="2"/>
            <w:tcBorders>
              <w:bottom w:val="single" w:sz="4" w:space="0" w:color="auto"/>
            </w:tcBorders>
            <w:tcMar>
              <w:top w:w="58" w:type="dxa"/>
              <w:left w:w="115" w:type="dxa"/>
              <w:bottom w:w="58" w:type="dxa"/>
              <w:right w:w="115" w:type="dxa"/>
            </w:tcMar>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COBRA</w:t>
            </w:r>
            <w:r w:rsidR="009C72F2" w:rsidRPr="008348B1">
              <w:rPr>
                <w:b/>
                <w:sz w:val="18"/>
                <w:szCs w:val="18"/>
              </w:rPr>
              <w:t xml:space="preserve">/Health Insurance </w:t>
            </w:r>
            <w:proofErr w:type="spellStart"/>
            <w:r w:rsidRPr="008348B1">
              <w:rPr>
                <w:b/>
                <w:sz w:val="18"/>
                <w:szCs w:val="18"/>
              </w:rPr>
              <w:t>Reim</w:t>
            </w:r>
            <w:proofErr w:type="spellEnd"/>
            <w:r w:rsidRPr="008348B1">
              <w:rPr>
                <w:b/>
                <w:sz w:val="18"/>
                <w:szCs w:val="18"/>
              </w:rPr>
              <w:t>-</w:t>
            </w:r>
          </w:p>
          <w:p w:rsidR="00F559AA" w:rsidRPr="008348B1" w:rsidRDefault="00F559AA" w:rsidP="000D0AFE">
            <w:pPr>
              <w:widowControl/>
              <w:tabs>
                <w:tab w:val="left" w:pos="360"/>
              </w:tabs>
              <w:spacing w:after="0"/>
              <w:jc w:val="center"/>
              <w:rPr>
                <w:b/>
                <w:sz w:val="18"/>
                <w:szCs w:val="18"/>
                <w:vertAlign w:val="superscript"/>
              </w:rPr>
            </w:pPr>
            <w:proofErr w:type="spellStart"/>
            <w:r w:rsidRPr="008348B1">
              <w:rPr>
                <w:b/>
                <w:sz w:val="18"/>
                <w:szCs w:val="18"/>
              </w:rPr>
              <w:t>bursement</w:t>
            </w:r>
            <w:proofErr w:type="spellEnd"/>
          </w:p>
          <w:p w:rsidR="00F559AA" w:rsidRPr="008348B1" w:rsidRDefault="00F559AA" w:rsidP="000D0AFE">
            <w:pPr>
              <w:widowControl/>
              <w:tabs>
                <w:tab w:val="left" w:pos="360"/>
              </w:tabs>
              <w:spacing w:after="0"/>
              <w:jc w:val="center"/>
              <w:rPr>
                <w:b/>
                <w:sz w:val="18"/>
                <w:szCs w:val="18"/>
              </w:rPr>
            </w:pPr>
            <w:r w:rsidRPr="008348B1">
              <w:rPr>
                <w:b/>
                <w:sz w:val="18"/>
                <w:szCs w:val="18"/>
              </w:rPr>
              <w:t>($)</w:t>
            </w:r>
          </w:p>
        </w:tc>
        <w:tc>
          <w:tcPr>
            <w:tcW w:w="1153" w:type="dxa"/>
            <w:gridSpan w:val="2"/>
            <w:tcBorders>
              <w:bottom w:val="single" w:sz="4" w:space="0" w:color="auto"/>
            </w:tcBorders>
            <w:tcMar>
              <w:bottom w:w="58" w:type="dxa"/>
            </w:tcMar>
            <w:vAlign w:val="bottom"/>
          </w:tcPr>
          <w:p w:rsidR="00F559AA" w:rsidRPr="008348B1" w:rsidRDefault="00F559AA" w:rsidP="000D0AFE">
            <w:pPr>
              <w:widowControl/>
              <w:tabs>
                <w:tab w:val="left" w:pos="360"/>
              </w:tabs>
              <w:spacing w:after="0"/>
              <w:jc w:val="center"/>
              <w:rPr>
                <w:sz w:val="18"/>
                <w:szCs w:val="18"/>
                <w:vertAlign w:val="superscript"/>
              </w:rPr>
            </w:pPr>
            <w:r w:rsidRPr="008348B1">
              <w:rPr>
                <w:b/>
                <w:sz w:val="18"/>
                <w:szCs w:val="18"/>
              </w:rPr>
              <w:t>Use of Company-Owned Vehicle</w:t>
            </w:r>
          </w:p>
          <w:p w:rsidR="00F559AA" w:rsidRPr="008348B1" w:rsidRDefault="00F559AA" w:rsidP="000D0AFE">
            <w:pPr>
              <w:widowControl/>
              <w:tabs>
                <w:tab w:val="left" w:pos="360"/>
              </w:tabs>
              <w:spacing w:after="0"/>
              <w:jc w:val="center"/>
              <w:rPr>
                <w:b/>
                <w:sz w:val="18"/>
                <w:szCs w:val="18"/>
              </w:rPr>
            </w:pPr>
            <w:r w:rsidRPr="008348B1">
              <w:rPr>
                <w:b/>
                <w:sz w:val="18"/>
                <w:szCs w:val="18"/>
              </w:rPr>
              <w:t>($)</w:t>
            </w:r>
          </w:p>
        </w:tc>
        <w:tc>
          <w:tcPr>
            <w:tcW w:w="902" w:type="dxa"/>
            <w:gridSpan w:val="2"/>
            <w:tcBorders>
              <w:bottom w:val="single" w:sz="4" w:space="0" w:color="auto"/>
            </w:tcBorders>
            <w:vAlign w:val="bottom"/>
          </w:tcPr>
          <w:p w:rsidR="00F559AA" w:rsidRPr="008348B1" w:rsidRDefault="00F559AA" w:rsidP="000D0AFE">
            <w:pPr>
              <w:widowControl/>
              <w:tabs>
                <w:tab w:val="left" w:pos="360"/>
              </w:tabs>
              <w:spacing w:after="0"/>
              <w:jc w:val="center"/>
              <w:rPr>
                <w:b/>
                <w:sz w:val="18"/>
                <w:szCs w:val="18"/>
              </w:rPr>
            </w:pPr>
            <w:r w:rsidRPr="008348B1">
              <w:rPr>
                <w:b/>
                <w:sz w:val="18"/>
                <w:szCs w:val="18"/>
              </w:rPr>
              <w:t>Country Club Dues</w:t>
            </w:r>
          </w:p>
          <w:p w:rsidR="00F559AA" w:rsidRPr="008348B1" w:rsidRDefault="00F559AA" w:rsidP="000D0AFE">
            <w:pPr>
              <w:widowControl/>
              <w:tabs>
                <w:tab w:val="left" w:pos="360"/>
              </w:tabs>
              <w:spacing w:after="0"/>
              <w:jc w:val="center"/>
              <w:rPr>
                <w:b/>
                <w:sz w:val="18"/>
                <w:szCs w:val="18"/>
              </w:rPr>
            </w:pPr>
            <w:r w:rsidRPr="008348B1">
              <w:rPr>
                <w:b/>
                <w:sz w:val="18"/>
                <w:szCs w:val="18"/>
              </w:rPr>
              <w:t>($)</w:t>
            </w:r>
          </w:p>
        </w:tc>
        <w:tc>
          <w:tcPr>
            <w:tcW w:w="1208" w:type="dxa"/>
            <w:gridSpan w:val="2"/>
            <w:tcBorders>
              <w:bottom w:val="single" w:sz="4" w:space="0" w:color="auto"/>
            </w:tcBorders>
            <w:vAlign w:val="bottom"/>
          </w:tcPr>
          <w:p w:rsidR="00F559AA" w:rsidRPr="008348B1" w:rsidRDefault="00F559AA" w:rsidP="00F559AA">
            <w:pPr>
              <w:widowControl/>
              <w:tabs>
                <w:tab w:val="left" w:pos="360"/>
              </w:tabs>
              <w:spacing w:after="0"/>
              <w:jc w:val="center"/>
              <w:rPr>
                <w:b/>
                <w:sz w:val="18"/>
                <w:szCs w:val="18"/>
              </w:rPr>
            </w:pPr>
            <w:r w:rsidRPr="008348B1">
              <w:rPr>
                <w:b/>
                <w:sz w:val="18"/>
                <w:szCs w:val="18"/>
              </w:rPr>
              <w:t>Severance Payments</w:t>
            </w:r>
          </w:p>
        </w:tc>
      </w:tr>
      <w:tr w:rsidR="00F559AA" w:rsidTr="00F74FF2">
        <w:trPr>
          <w:cantSplit/>
          <w:jc w:val="center"/>
        </w:trPr>
        <w:tc>
          <w:tcPr>
            <w:tcW w:w="2017" w:type="dxa"/>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left"/>
              <w:rPr>
                <w:sz w:val="18"/>
                <w:szCs w:val="18"/>
              </w:rPr>
            </w:pPr>
            <w:r w:rsidRPr="008348B1">
              <w:rPr>
                <w:sz w:val="18"/>
                <w:szCs w:val="18"/>
              </w:rPr>
              <w:t>Paul J. Varello</w:t>
            </w:r>
            <w:r w:rsidR="00EC74BB" w:rsidRPr="008348B1">
              <w:rPr>
                <w:b/>
                <w:sz w:val="18"/>
                <w:szCs w:val="18"/>
                <w:vertAlign w:val="superscript"/>
              </w:rPr>
              <w:t xml:space="preserve"> (1)</w:t>
            </w:r>
          </w:p>
        </w:tc>
        <w:tc>
          <w:tcPr>
            <w:tcW w:w="630" w:type="dxa"/>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2015</w:t>
            </w:r>
          </w:p>
        </w:tc>
        <w:tc>
          <w:tcPr>
            <w:tcW w:w="1330" w:type="dxa"/>
            <w:gridSpan w:val="2"/>
            <w:shd w:val="clear" w:color="auto" w:fill="C6D9F1" w:themeFill="text2" w:themeFillTint="33"/>
            <w:tcMar>
              <w:top w:w="58" w:type="dxa"/>
              <w:left w:w="115" w:type="dxa"/>
              <w:bottom w:w="58" w:type="dxa"/>
              <w:right w:w="115" w:type="dxa"/>
            </w:tcMar>
          </w:tcPr>
          <w:p w:rsidR="00F559AA" w:rsidRPr="008348B1" w:rsidRDefault="006B12BB" w:rsidP="000D0AFE">
            <w:pPr>
              <w:widowControl/>
              <w:tabs>
                <w:tab w:val="left" w:pos="360"/>
              </w:tabs>
              <w:spacing w:after="0"/>
              <w:jc w:val="center"/>
              <w:rPr>
                <w:sz w:val="18"/>
                <w:szCs w:val="18"/>
              </w:rPr>
            </w:pPr>
            <w:r w:rsidRPr="008348B1">
              <w:rPr>
                <w:sz w:val="18"/>
                <w:szCs w:val="18"/>
              </w:rPr>
              <w:t>—</w:t>
            </w:r>
          </w:p>
        </w:tc>
        <w:tc>
          <w:tcPr>
            <w:tcW w:w="1350" w:type="dxa"/>
            <w:gridSpan w:val="2"/>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w:t>
            </w:r>
          </w:p>
        </w:tc>
        <w:tc>
          <w:tcPr>
            <w:tcW w:w="1032" w:type="dxa"/>
            <w:gridSpan w:val="2"/>
            <w:shd w:val="clear" w:color="auto" w:fill="C6D9F1" w:themeFill="text2" w:themeFillTint="33"/>
          </w:tcPr>
          <w:p w:rsidR="00F559AA" w:rsidRPr="008348B1" w:rsidRDefault="00F559AA" w:rsidP="000D0AFE">
            <w:pPr>
              <w:widowControl/>
              <w:tabs>
                <w:tab w:val="left" w:pos="360"/>
              </w:tabs>
              <w:spacing w:after="0"/>
              <w:jc w:val="center"/>
              <w:rPr>
                <w:sz w:val="18"/>
                <w:szCs w:val="18"/>
              </w:rPr>
            </w:pPr>
            <w:r w:rsidRPr="008348B1">
              <w:rPr>
                <w:sz w:val="18"/>
                <w:szCs w:val="18"/>
              </w:rPr>
              <w:t>—</w:t>
            </w:r>
          </w:p>
        </w:tc>
        <w:tc>
          <w:tcPr>
            <w:tcW w:w="1066" w:type="dxa"/>
            <w:gridSpan w:val="2"/>
            <w:shd w:val="clear" w:color="auto" w:fill="C6D9F1" w:themeFill="text2" w:themeFillTint="33"/>
            <w:tcMar>
              <w:top w:w="58" w:type="dxa"/>
              <w:left w:w="115" w:type="dxa"/>
              <w:bottom w:w="58" w:type="dxa"/>
              <w:right w:w="115" w:type="dxa"/>
            </w:tcMar>
          </w:tcPr>
          <w:p w:rsidR="00F559AA" w:rsidRPr="008348B1" w:rsidRDefault="006B12BB" w:rsidP="000D0AFE">
            <w:pPr>
              <w:widowControl/>
              <w:tabs>
                <w:tab w:val="left" w:pos="360"/>
              </w:tabs>
              <w:spacing w:after="0"/>
              <w:jc w:val="center"/>
              <w:rPr>
                <w:sz w:val="18"/>
                <w:szCs w:val="18"/>
              </w:rPr>
            </w:pPr>
            <w:r w:rsidRPr="008348B1">
              <w:rPr>
                <w:sz w:val="18"/>
                <w:szCs w:val="18"/>
              </w:rPr>
              <w:t>8,299</w:t>
            </w:r>
          </w:p>
        </w:tc>
        <w:tc>
          <w:tcPr>
            <w:tcW w:w="1153" w:type="dxa"/>
            <w:gridSpan w:val="2"/>
            <w:shd w:val="clear" w:color="auto" w:fill="C6D9F1" w:themeFill="text2" w:themeFillTint="33"/>
          </w:tcPr>
          <w:p w:rsidR="00F559AA" w:rsidRPr="008348B1" w:rsidRDefault="006B12BB" w:rsidP="000D0AFE">
            <w:pPr>
              <w:widowControl/>
              <w:tabs>
                <w:tab w:val="left" w:pos="360"/>
              </w:tabs>
              <w:spacing w:after="0"/>
              <w:jc w:val="center"/>
              <w:rPr>
                <w:sz w:val="18"/>
                <w:szCs w:val="18"/>
              </w:rPr>
            </w:pPr>
            <w:r w:rsidRPr="008348B1">
              <w:rPr>
                <w:sz w:val="18"/>
                <w:szCs w:val="18"/>
              </w:rPr>
              <w:t>8,210</w:t>
            </w:r>
          </w:p>
        </w:tc>
        <w:tc>
          <w:tcPr>
            <w:tcW w:w="902" w:type="dxa"/>
            <w:gridSpan w:val="2"/>
            <w:shd w:val="clear" w:color="auto" w:fill="C6D9F1" w:themeFill="text2" w:themeFillTint="33"/>
          </w:tcPr>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192" w:type="dxa"/>
            <w:gridSpan w:val="2"/>
            <w:shd w:val="clear" w:color="auto" w:fill="C6D9F1" w:themeFill="text2" w:themeFillTint="33"/>
          </w:tcPr>
          <w:p w:rsidR="00F559AA" w:rsidRPr="008348B1" w:rsidRDefault="00F559AA" w:rsidP="004B786B">
            <w:pPr>
              <w:widowControl/>
              <w:tabs>
                <w:tab w:val="left" w:pos="360"/>
              </w:tabs>
              <w:spacing w:after="0"/>
              <w:jc w:val="center"/>
              <w:rPr>
                <w:sz w:val="18"/>
                <w:szCs w:val="18"/>
              </w:rPr>
            </w:pPr>
            <w:r w:rsidRPr="008348B1">
              <w:rPr>
                <w:sz w:val="18"/>
                <w:szCs w:val="18"/>
              </w:rPr>
              <w:t>—</w:t>
            </w:r>
          </w:p>
        </w:tc>
      </w:tr>
      <w:tr w:rsidR="00F559AA" w:rsidTr="00F74FF2">
        <w:trPr>
          <w:cantSplit/>
          <w:jc w:val="center"/>
        </w:trPr>
        <w:tc>
          <w:tcPr>
            <w:tcW w:w="2017" w:type="dxa"/>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left"/>
              <w:rPr>
                <w:sz w:val="18"/>
                <w:szCs w:val="18"/>
              </w:rPr>
            </w:pPr>
            <w:r w:rsidRPr="008348B1">
              <w:rPr>
                <w:sz w:val="18"/>
                <w:szCs w:val="18"/>
              </w:rPr>
              <w:t>Kevan M. Blair</w:t>
            </w:r>
          </w:p>
        </w:tc>
        <w:tc>
          <w:tcPr>
            <w:tcW w:w="630" w:type="dxa"/>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2015</w:t>
            </w:r>
          </w:p>
        </w:tc>
        <w:tc>
          <w:tcPr>
            <w:tcW w:w="1330" w:type="dxa"/>
            <w:gridSpan w:val="2"/>
            <w:shd w:val="clear" w:color="auto" w:fill="FFFFFF" w:themeFill="background1"/>
            <w:tcMar>
              <w:top w:w="58" w:type="dxa"/>
              <w:left w:w="115" w:type="dxa"/>
              <w:bottom w:w="58" w:type="dxa"/>
              <w:right w:w="115" w:type="dxa"/>
            </w:tcMar>
          </w:tcPr>
          <w:p w:rsidR="00F559AA" w:rsidRPr="008348B1" w:rsidRDefault="006B12BB" w:rsidP="000D0AFE">
            <w:pPr>
              <w:widowControl/>
              <w:tabs>
                <w:tab w:val="left" w:pos="360"/>
              </w:tabs>
              <w:spacing w:after="0"/>
              <w:jc w:val="center"/>
              <w:rPr>
                <w:sz w:val="18"/>
                <w:szCs w:val="18"/>
              </w:rPr>
            </w:pPr>
            <w:r w:rsidRPr="008348B1">
              <w:rPr>
                <w:sz w:val="18"/>
                <w:szCs w:val="18"/>
              </w:rPr>
              <w:t>5,777</w:t>
            </w:r>
          </w:p>
        </w:tc>
        <w:tc>
          <w:tcPr>
            <w:tcW w:w="1350" w:type="dxa"/>
            <w:gridSpan w:val="2"/>
            <w:shd w:val="clear" w:color="auto" w:fill="FFFFFF" w:themeFill="background1"/>
            <w:tcMar>
              <w:top w:w="58" w:type="dxa"/>
              <w:left w:w="115" w:type="dxa"/>
              <w:bottom w:w="58" w:type="dxa"/>
              <w:right w:w="115" w:type="dxa"/>
            </w:tcMar>
          </w:tcPr>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032" w:type="dxa"/>
            <w:gridSpan w:val="2"/>
            <w:shd w:val="clear" w:color="auto" w:fill="FFFFFF" w:themeFill="background1"/>
          </w:tcPr>
          <w:p w:rsidR="00F559AA" w:rsidRPr="008348B1" w:rsidRDefault="009C72F2" w:rsidP="000D0AFE">
            <w:pPr>
              <w:widowControl/>
              <w:tabs>
                <w:tab w:val="left" w:pos="360"/>
              </w:tabs>
              <w:spacing w:after="0"/>
              <w:jc w:val="center"/>
              <w:rPr>
                <w:sz w:val="18"/>
                <w:szCs w:val="18"/>
              </w:rPr>
            </w:pPr>
            <w:r w:rsidRPr="008348B1">
              <w:rPr>
                <w:sz w:val="18"/>
                <w:szCs w:val="18"/>
              </w:rPr>
              <w:t>—</w:t>
            </w:r>
          </w:p>
        </w:tc>
        <w:tc>
          <w:tcPr>
            <w:tcW w:w="1066" w:type="dxa"/>
            <w:gridSpan w:val="2"/>
            <w:shd w:val="clear" w:color="auto" w:fill="FFFFFF" w:themeFill="background1"/>
            <w:tcMar>
              <w:top w:w="58" w:type="dxa"/>
              <w:left w:w="115" w:type="dxa"/>
              <w:bottom w:w="58" w:type="dxa"/>
              <w:right w:w="115" w:type="dxa"/>
            </w:tcMar>
          </w:tcPr>
          <w:p w:rsidR="00F559AA" w:rsidRPr="008348B1" w:rsidRDefault="009C72F2" w:rsidP="000D0AFE">
            <w:pPr>
              <w:widowControl/>
              <w:tabs>
                <w:tab w:val="left" w:pos="360"/>
              </w:tabs>
              <w:spacing w:after="0"/>
              <w:jc w:val="center"/>
              <w:rPr>
                <w:sz w:val="18"/>
                <w:szCs w:val="18"/>
              </w:rPr>
            </w:pPr>
            <w:r w:rsidRPr="008348B1">
              <w:rPr>
                <w:sz w:val="18"/>
                <w:szCs w:val="18"/>
              </w:rPr>
              <w:t>—</w:t>
            </w:r>
          </w:p>
        </w:tc>
        <w:tc>
          <w:tcPr>
            <w:tcW w:w="1153" w:type="dxa"/>
            <w:gridSpan w:val="2"/>
            <w:shd w:val="clear" w:color="auto" w:fill="FFFFFF" w:themeFill="background1"/>
          </w:tcPr>
          <w:p w:rsidR="00F559AA" w:rsidRPr="008348B1" w:rsidRDefault="006B12BB" w:rsidP="000D0AFE">
            <w:pPr>
              <w:widowControl/>
              <w:tabs>
                <w:tab w:val="left" w:pos="360"/>
              </w:tabs>
              <w:spacing w:after="0"/>
              <w:jc w:val="center"/>
              <w:rPr>
                <w:sz w:val="18"/>
                <w:szCs w:val="18"/>
              </w:rPr>
            </w:pPr>
            <w:r w:rsidRPr="008348B1">
              <w:rPr>
                <w:sz w:val="18"/>
                <w:szCs w:val="18"/>
              </w:rPr>
              <w:t>4,865</w:t>
            </w:r>
          </w:p>
        </w:tc>
        <w:tc>
          <w:tcPr>
            <w:tcW w:w="902" w:type="dxa"/>
            <w:gridSpan w:val="2"/>
            <w:shd w:val="clear" w:color="auto" w:fill="FFFFFF" w:themeFill="background1"/>
          </w:tcPr>
          <w:p w:rsidR="00F559AA" w:rsidRPr="008348B1" w:rsidRDefault="009C72F2" w:rsidP="000D0AFE">
            <w:pPr>
              <w:widowControl/>
              <w:tabs>
                <w:tab w:val="left" w:pos="360"/>
              </w:tabs>
              <w:spacing w:after="0"/>
              <w:jc w:val="center"/>
              <w:rPr>
                <w:sz w:val="18"/>
                <w:szCs w:val="18"/>
              </w:rPr>
            </w:pPr>
            <w:r w:rsidRPr="008348B1">
              <w:rPr>
                <w:sz w:val="18"/>
                <w:szCs w:val="18"/>
              </w:rPr>
              <w:t>—</w:t>
            </w:r>
          </w:p>
        </w:tc>
        <w:tc>
          <w:tcPr>
            <w:tcW w:w="1192" w:type="dxa"/>
            <w:gridSpan w:val="2"/>
            <w:shd w:val="clear" w:color="auto" w:fill="FFFFFF" w:themeFill="background1"/>
          </w:tcPr>
          <w:p w:rsidR="00F559AA" w:rsidRPr="008348B1" w:rsidRDefault="00F559AA" w:rsidP="004B786B">
            <w:pPr>
              <w:widowControl/>
              <w:tabs>
                <w:tab w:val="left" w:pos="360"/>
              </w:tabs>
              <w:spacing w:after="0"/>
              <w:jc w:val="center"/>
              <w:rPr>
                <w:sz w:val="18"/>
                <w:szCs w:val="18"/>
              </w:rPr>
            </w:pPr>
            <w:r w:rsidRPr="008348B1">
              <w:rPr>
                <w:sz w:val="18"/>
                <w:szCs w:val="18"/>
              </w:rPr>
              <w:t>—</w:t>
            </w:r>
          </w:p>
        </w:tc>
      </w:tr>
      <w:tr w:rsidR="00F559AA" w:rsidTr="00F74FF2">
        <w:trPr>
          <w:cantSplit/>
          <w:jc w:val="center"/>
        </w:trPr>
        <w:tc>
          <w:tcPr>
            <w:tcW w:w="2017" w:type="dxa"/>
            <w:shd w:val="clear" w:color="auto" w:fill="C6D9F1" w:themeFill="text2" w:themeFillTint="33"/>
            <w:tcMar>
              <w:top w:w="58" w:type="dxa"/>
              <w:left w:w="115" w:type="dxa"/>
              <w:bottom w:w="58" w:type="dxa"/>
              <w:right w:w="115" w:type="dxa"/>
            </w:tcMar>
          </w:tcPr>
          <w:p w:rsidR="00F559AA" w:rsidRPr="008348B1" w:rsidRDefault="00F559AA" w:rsidP="00EC74BB">
            <w:pPr>
              <w:widowControl/>
              <w:tabs>
                <w:tab w:val="left" w:pos="360"/>
              </w:tabs>
              <w:spacing w:after="0"/>
              <w:jc w:val="left"/>
              <w:rPr>
                <w:sz w:val="18"/>
                <w:szCs w:val="18"/>
              </w:rPr>
            </w:pPr>
            <w:r w:rsidRPr="008348B1">
              <w:rPr>
                <w:sz w:val="18"/>
                <w:szCs w:val="18"/>
              </w:rPr>
              <w:t>Peter E. MacKenna</w:t>
            </w:r>
            <w:r w:rsidR="00456396" w:rsidRPr="008348B1">
              <w:rPr>
                <w:b/>
                <w:sz w:val="18"/>
                <w:szCs w:val="18"/>
                <w:vertAlign w:val="superscript"/>
              </w:rPr>
              <w:t xml:space="preserve"> (</w:t>
            </w:r>
            <w:r w:rsidR="00EC74BB" w:rsidRPr="008348B1">
              <w:rPr>
                <w:b/>
                <w:sz w:val="18"/>
                <w:szCs w:val="18"/>
                <w:vertAlign w:val="superscript"/>
              </w:rPr>
              <w:t>2</w:t>
            </w:r>
            <w:r w:rsidR="00456396" w:rsidRPr="008348B1">
              <w:rPr>
                <w:b/>
                <w:sz w:val="18"/>
                <w:szCs w:val="18"/>
                <w:vertAlign w:val="superscript"/>
              </w:rPr>
              <w:t>)</w:t>
            </w:r>
          </w:p>
        </w:tc>
        <w:tc>
          <w:tcPr>
            <w:tcW w:w="630" w:type="dxa"/>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2013</w:t>
            </w:r>
          </w:p>
          <w:p w:rsidR="00F559AA" w:rsidRPr="008348B1" w:rsidRDefault="00F559AA" w:rsidP="000D0AFE">
            <w:pPr>
              <w:widowControl/>
              <w:tabs>
                <w:tab w:val="left" w:pos="360"/>
              </w:tabs>
              <w:spacing w:after="0"/>
              <w:jc w:val="center"/>
              <w:rPr>
                <w:sz w:val="18"/>
                <w:szCs w:val="18"/>
              </w:rPr>
            </w:pPr>
            <w:r w:rsidRPr="008348B1">
              <w:rPr>
                <w:sz w:val="18"/>
                <w:szCs w:val="18"/>
              </w:rPr>
              <w:t>2014</w:t>
            </w:r>
          </w:p>
          <w:p w:rsidR="00F559AA" w:rsidRPr="008348B1" w:rsidRDefault="00F559AA" w:rsidP="000D0AFE">
            <w:pPr>
              <w:widowControl/>
              <w:tabs>
                <w:tab w:val="left" w:pos="360"/>
              </w:tabs>
              <w:spacing w:after="0"/>
              <w:jc w:val="center"/>
              <w:rPr>
                <w:sz w:val="18"/>
                <w:szCs w:val="18"/>
              </w:rPr>
            </w:pPr>
            <w:r w:rsidRPr="008348B1">
              <w:rPr>
                <w:sz w:val="18"/>
                <w:szCs w:val="18"/>
              </w:rPr>
              <w:t>2015</w:t>
            </w:r>
          </w:p>
        </w:tc>
        <w:tc>
          <w:tcPr>
            <w:tcW w:w="1330" w:type="dxa"/>
            <w:gridSpan w:val="2"/>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D633F3" w:rsidP="000D0AFE">
            <w:pPr>
              <w:widowControl/>
              <w:tabs>
                <w:tab w:val="left" w:pos="360"/>
              </w:tabs>
              <w:spacing w:after="0"/>
              <w:jc w:val="center"/>
              <w:rPr>
                <w:sz w:val="18"/>
                <w:szCs w:val="18"/>
              </w:rPr>
            </w:pPr>
            <w:r w:rsidRPr="008348B1">
              <w:rPr>
                <w:sz w:val="18"/>
                <w:szCs w:val="18"/>
              </w:rPr>
              <w:t>—</w:t>
            </w:r>
          </w:p>
        </w:tc>
        <w:tc>
          <w:tcPr>
            <w:tcW w:w="1350" w:type="dxa"/>
            <w:gridSpan w:val="2"/>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106,445</w:t>
            </w:r>
          </w:p>
          <w:p w:rsidR="00F559AA" w:rsidRPr="008348B1" w:rsidRDefault="00F559AA" w:rsidP="000D0AFE">
            <w:pPr>
              <w:widowControl/>
              <w:tabs>
                <w:tab w:val="left" w:pos="360"/>
              </w:tabs>
              <w:spacing w:after="0"/>
              <w:jc w:val="center"/>
              <w:rPr>
                <w:sz w:val="18"/>
                <w:szCs w:val="18"/>
              </w:rPr>
            </w:pPr>
            <w:r w:rsidRPr="008348B1">
              <w:rPr>
                <w:sz w:val="18"/>
                <w:szCs w:val="18"/>
              </w:rPr>
              <w:t>264,050</w:t>
            </w:r>
          </w:p>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032" w:type="dxa"/>
            <w:gridSpan w:val="2"/>
            <w:shd w:val="clear" w:color="auto" w:fill="C6D9F1" w:themeFill="text2" w:themeFillTint="33"/>
          </w:tcPr>
          <w:p w:rsidR="00F559AA" w:rsidRPr="008348B1" w:rsidRDefault="00F559AA" w:rsidP="000D0AFE">
            <w:pPr>
              <w:widowControl/>
              <w:tabs>
                <w:tab w:val="left" w:pos="360"/>
              </w:tabs>
              <w:spacing w:after="0"/>
              <w:jc w:val="center"/>
              <w:rPr>
                <w:sz w:val="18"/>
                <w:szCs w:val="18"/>
              </w:rPr>
            </w:pPr>
            <w:r w:rsidRPr="008348B1">
              <w:rPr>
                <w:sz w:val="18"/>
                <w:szCs w:val="18"/>
              </w:rPr>
              <w:t>16,699</w:t>
            </w:r>
          </w:p>
          <w:p w:rsidR="00F559AA" w:rsidRPr="008348B1" w:rsidRDefault="00F559AA" w:rsidP="000D0AFE">
            <w:pPr>
              <w:widowControl/>
              <w:tabs>
                <w:tab w:val="left" w:pos="360"/>
              </w:tabs>
              <w:spacing w:after="0"/>
              <w:jc w:val="center"/>
              <w:rPr>
                <w:sz w:val="18"/>
                <w:szCs w:val="18"/>
              </w:rPr>
            </w:pPr>
            <w:r w:rsidRPr="008348B1">
              <w:rPr>
                <w:sz w:val="18"/>
                <w:szCs w:val="18"/>
              </w:rPr>
              <w:t>112,322</w:t>
            </w:r>
          </w:p>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066" w:type="dxa"/>
            <w:gridSpan w:val="2"/>
            <w:shd w:val="clear" w:color="auto" w:fill="C6D9F1" w:themeFill="text2" w:themeFillTint="33"/>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vertAlign w:val="superscript"/>
              </w:rPr>
            </w:pPr>
            <w:r w:rsidRPr="008348B1">
              <w:rPr>
                <w:sz w:val="18"/>
                <w:szCs w:val="18"/>
              </w:rPr>
              <w:t>22,862</w:t>
            </w:r>
          </w:p>
          <w:p w:rsidR="00EE276A" w:rsidRPr="008348B1" w:rsidRDefault="00F559AA" w:rsidP="00EE276A">
            <w:pPr>
              <w:widowControl/>
              <w:tabs>
                <w:tab w:val="left" w:pos="360"/>
              </w:tabs>
              <w:spacing w:after="0"/>
              <w:jc w:val="center"/>
              <w:rPr>
                <w:sz w:val="18"/>
                <w:szCs w:val="18"/>
              </w:rPr>
            </w:pPr>
            <w:r w:rsidRPr="008348B1">
              <w:rPr>
                <w:sz w:val="18"/>
                <w:szCs w:val="18"/>
              </w:rPr>
              <w:t>3,811</w:t>
            </w:r>
          </w:p>
          <w:p w:rsidR="00EE276A" w:rsidRPr="008348B1" w:rsidRDefault="00F74FF2" w:rsidP="00EE276A">
            <w:pPr>
              <w:widowControl/>
              <w:tabs>
                <w:tab w:val="left" w:pos="360"/>
              </w:tabs>
              <w:spacing w:after="0"/>
              <w:jc w:val="center"/>
              <w:rPr>
                <w:sz w:val="18"/>
                <w:szCs w:val="18"/>
              </w:rPr>
            </w:pPr>
            <w:r w:rsidRPr="008348B1">
              <w:rPr>
                <w:sz w:val="18"/>
                <w:szCs w:val="18"/>
              </w:rPr>
              <w:t>—</w:t>
            </w:r>
          </w:p>
        </w:tc>
        <w:tc>
          <w:tcPr>
            <w:tcW w:w="1153" w:type="dxa"/>
            <w:gridSpan w:val="2"/>
            <w:shd w:val="clear" w:color="auto" w:fill="C6D9F1" w:themeFill="text2" w:themeFillTint="33"/>
          </w:tcPr>
          <w:p w:rsidR="00F559AA" w:rsidRPr="008348B1" w:rsidRDefault="00F559AA" w:rsidP="000D0AFE">
            <w:pPr>
              <w:widowControl/>
              <w:tabs>
                <w:tab w:val="left" w:pos="360"/>
              </w:tabs>
              <w:spacing w:after="0"/>
              <w:jc w:val="center"/>
              <w:rPr>
                <w:sz w:val="18"/>
                <w:szCs w:val="18"/>
              </w:rPr>
            </w:pPr>
            <w:r w:rsidRPr="008348B1">
              <w:rPr>
                <w:sz w:val="18"/>
                <w:szCs w:val="18"/>
              </w:rPr>
              <w:t>8,410</w:t>
            </w:r>
          </w:p>
          <w:p w:rsidR="00F559AA" w:rsidRPr="008348B1" w:rsidRDefault="00F559AA" w:rsidP="000D0AFE">
            <w:pPr>
              <w:widowControl/>
              <w:tabs>
                <w:tab w:val="left" w:pos="360"/>
              </w:tabs>
              <w:spacing w:after="0"/>
              <w:jc w:val="center"/>
              <w:rPr>
                <w:sz w:val="18"/>
                <w:szCs w:val="18"/>
              </w:rPr>
            </w:pPr>
            <w:r w:rsidRPr="008348B1">
              <w:rPr>
                <w:sz w:val="18"/>
                <w:szCs w:val="18"/>
              </w:rPr>
              <w:t>7,229</w:t>
            </w:r>
          </w:p>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902" w:type="dxa"/>
            <w:gridSpan w:val="2"/>
            <w:shd w:val="clear" w:color="auto" w:fill="C6D9F1" w:themeFill="text2" w:themeFillTint="33"/>
          </w:tcPr>
          <w:p w:rsidR="00F559AA" w:rsidRPr="008348B1" w:rsidRDefault="00F559AA" w:rsidP="00F559AA">
            <w:pPr>
              <w:widowControl/>
              <w:tabs>
                <w:tab w:val="left" w:pos="360"/>
              </w:tabs>
              <w:spacing w:after="0"/>
              <w:jc w:val="center"/>
              <w:rPr>
                <w:sz w:val="18"/>
                <w:szCs w:val="18"/>
              </w:rPr>
            </w:pPr>
            <w:r w:rsidRPr="008348B1">
              <w:rPr>
                <w:sz w:val="18"/>
                <w:szCs w:val="18"/>
              </w:rPr>
              <w:t>2,090</w:t>
            </w:r>
          </w:p>
          <w:p w:rsidR="00F559AA" w:rsidRPr="008348B1" w:rsidRDefault="00F559AA" w:rsidP="00F559AA">
            <w:pPr>
              <w:widowControl/>
              <w:tabs>
                <w:tab w:val="left" w:pos="360"/>
              </w:tabs>
              <w:spacing w:after="0"/>
              <w:jc w:val="center"/>
              <w:rPr>
                <w:sz w:val="18"/>
                <w:szCs w:val="18"/>
              </w:rPr>
            </w:pPr>
            <w:r w:rsidRPr="008348B1">
              <w:rPr>
                <w:sz w:val="18"/>
                <w:szCs w:val="18"/>
              </w:rPr>
              <w:t>12,540</w:t>
            </w:r>
          </w:p>
          <w:p w:rsidR="00F559AA" w:rsidRPr="008348B1" w:rsidRDefault="00D04AEB" w:rsidP="000D0AFE">
            <w:pPr>
              <w:widowControl/>
              <w:tabs>
                <w:tab w:val="left" w:pos="360"/>
              </w:tabs>
              <w:spacing w:after="0"/>
              <w:jc w:val="center"/>
              <w:rPr>
                <w:sz w:val="18"/>
                <w:szCs w:val="18"/>
              </w:rPr>
            </w:pPr>
            <w:r w:rsidRPr="008348B1">
              <w:rPr>
                <w:sz w:val="18"/>
                <w:szCs w:val="18"/>
              </w:rPr>
              <w:t>10,251</w:t>
            </w:r>
          </w:p>
        </w:tc>
        <w:tc>
          <w:tcPr>
            <w:tcW w:w="1192" w:type="dxa"/>
            <w:gridSpan w:val="2"/>
            <w:shd w:val="clear" w:color="auto" w:fill="C6D9F1" w:themeFill="text2" w:themeFillTint="33"/>
          </w:tcPr>
          <w:p w:rsidR="00F559AA" w:rsidRPr="008348B1" w:rsidRDefault="00DE3209" w:rsidP="000D0AFE">
            <w:pPr>
              <w:widowControl/>
              <w:tabs>
                <w:tab w:val="left" w:pos="360"/>
              </w:tabs>
              <w:spacing w:after="0"/>
              <w:jc w:val="center"/>
              <w:rPr>
                <w:sz w:val="18"/>
                <w:szCs w:val="18"/>
              </w:rPr>
            </w:pPr>
            <w:r w:rsidRPr="008348B1">
              <w:rPr>
                <w:sz w:val="18"/>
                <w:szCs w:val="18"/>
              </w:rPr>
              <w:t>—</w:t>
            </w:r>
          </w:p>
          <w:p w:rsidR="00F559AA" w:rsidRPr="008348B1" w:rsidRDefault="00DE3209" w:rsidP="000D0AFE">
            <w:pPr>
              <w:widowControl/>
              <w:tabs>
                <w:tab w:val="left" w:pos="360"/>
              </w:tabs>
              <w:spacing w:after="0"/>
              <w:jc w:val="center"/>
              <w:rPr>
                <w:sz w:val="18"/>
                <w:szCs w:val="18"/>
              </w:rPr>
            </w:pPr>
            <w:r w:rsidRPr="008348B1">
              <w:rPr>
                <w:sz w:val="18"/>
                <w:szCs w:val="18"/>
              </w:rPr>
              <w:t>—</w:t>
            </w:r>
          </w:p>
          <w:p w:rsidR="00623648" w:rsidRPr="008348B1" w:rsidRDefault="00775886" w:rsidP="00623648">
            <w:pPr>
              <w:widowControl/>
              <w:tabs>
                <w:tab w:val="left" w:pos="360"/>
              </w:tabs>
              <w:spacing w:after="0"/>
              <w:jc w:val="center"/>
              <w:rPr>
                <w:sz w:val="18"/>
                <w:szCs w:val="18"/>
              </w:rPr>
            </w:pPr>
            <w:r w:rsidRPr="008348B1">
              <w:rPr>
                <w:sz w:val="18"/>
                <w:szCs w:val="18"/>
              </w:rPr>
              <w:t>1,</w:t>
            </w:r>
            <w:r w:rsidR="00623648" w:rsidRPr="008348B1">
              <w:rPr>
                <w:sz w:val="18"/>
                <w:szCs w:val="18"/>
              </w:rPr>
              <w:t>783,249</w:t>
            </w:r>
          </w:p>
        </w:tc>
      </w:tr>
      <w:tr w:rsidR="00F559AA" w:rsidTr="00F74FF2">
        <w:trPr>
          <w:jc w:val="center"/>
        </w:trPr>
        <w:tc>
          <w:tcPr>
            <w:tcW w:w="2017" w:type="dxa"/>
            <w:tcBorders>
              <w:bottom w:val="single" w:sz="4" w:space="0" w:color="auto"/>
            </w:tcBorders>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left"/>
              <w:rPr>
                <w:sz w:val="18"/>
                <w:szCs w:val="18"/>
              </w:rPr>
            </w:pPr>
            <w:r w:rsidRPr="008348B1">
              <w:rPr>
                <w:sz w:val="18"/>
                <w:szCs w:val="18"/>
              </w:rPr>
              <w:t>Thomas R. Wright</w:t>
            </w:r>
            <w:r w:rsidR="00EC74BB" w:rsidRPr="008348B1">
              <w:rPr>
                <w:sz w:val="18"/>
                <w:szCs w:val="18"/>
                <w:vertAlign w:val="superscript"/>
              </w:rPr>
              <w:t xml:space="preserve"> (3)</w:t>
            </w:r>
          </w:p>
        </w:tc>
        <w:tc>
          <w:tcPr>
            <w:tcW w:w="630" w:type="dxa"/>
            <w:tcBorders>
              <w:bottom w:val="single" w:sz="4" w:space="0" w:color="auto"/>
            </w:tcBorders>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2013</w:t>
            </w:r>
          </w:p>
          <w:p w:rsidR="00F559AA" w:rsidRPr="008348B1" w:rsidRDefault="00F559AA" w:rsidP="000D0AFE">
            <w:pPr>
              <w:widowControl/>
              <w:tabs>
                <w:tab w:val="left" w:pos="360"/>
              </w:tabs>
              <w:spacing w:after="0"/>
              <w:jc w:val="center"/>
              <w:rPr>
                <w:sz w:val="18"/>
                <w:szCs w:val="18"/>
              </w:rPr>
            </w:pPr>
            <w:r w:rsidRPr="008348B1">
              <w:rPr>
                <w:sz w:val="18"/>
                <w:szCs w:val="18"/>
              </w:rPr>
              <w:t>2014</w:t>
            </w:r>
          </w:p>
          <w:p w:rsidR="00F559AA" w:rsidRPr="008348B1" w:rsidRDefault="00F559AA" w:rsidP="000D0AFE">
            <w:pPr>
              <w:widowControl/>
              <w:tabs>
                <w:tab w:val="left" w:pos="360"/>
              </w:tabs>
              <w:spacing w:after="0"/>
              <w:jc w:val="center"/>
              <w:rPr>
                <w:sz w:val="18"/>
                <w:szCs w:val="18"/>
              </w:rPr>
            </w:pPr>
            <w:r w:rsidRPr="008348B1">
              <w:rPr>
                <w:sz w:val="18"/>
                <w:szCs w:val="18"/>
              </w:rPr>
              <w:t>2015</w:t>
            </w:r>
          </w:p>
        </w:tc>
        <w:tc>
          <w:tcPr>
            <w:tcW w:w="1330" w:type="dxa"/>
            <w:gridSpan w:val="2"/>
            <w:tcBorders>
              <w:bottom w:val="single" w:sz="4" w:space="0" w:color="auto"/>
            </w:tcBorders>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2,154</w:t>
            </w:r>
          </w:p>
          <w:p w:rsidR="00F559AA" w:rsidRPr="008348B1" w:rsidRDefault="00F559AA" w:rsidP="000D0AFE">
            <w:pPr>
              <w:widowControl/>
              <w:tabs>
                <w:tab w:val="left" w:pos="360"/>
              </w:tabs>
              <w:spacing w:after="0"/>
              <w:jc w:val="center"/>
              <w:rPr>
                <w:sz w:val="18"/>
                <w:szCs w:val="18"/>
              </w:rPr>
            </w:pPr>
            <w:r w:rsidRPr="008348B1">
              <w:rPr>
                <w:sz w:val="18"/>
                <w:szCs w:val="18"/>
              </w:rPr>
              <w:t>10,200</w:t>
            </w:r>
          </w:p>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350" w:type="dxa"/>
            <w:gridSpan w:val="2"/>
            <w:tcBorders>
              <w:bottom w:val="single" w:sz="4" w:space="0" w:color="auto"/>
            </w:tcBorders>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41,348</w:t>
            </w:r>
          </w:p>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9C72F2" w:rsidP="000D0AFE">
            <w:pPr>
              <w:widowControl/>
              <w:tabs>
                <w:tab w:val="left" w:pos="360"/>
              </w:tabs>
              <w:spacing w:after="0"/>
              <w:jc w:val="center"/>
              <w:rPr>
                <w:sz w:val="18"/>
                <w:szCs w:val="18"/>
              </w:rPr>
            </w:pPr>
            <w:r w:rsidRPr="008348B1">
              <w:rPr>
                <w:sz w:val="18"/>
                <w:szCs w:val="18"/>
              </w:rPr>
              <w:t>—</w:t>
            </w:r>
          </w:p>
        </w:tc>
        <w:tc>
          <w:tcPr>
            <w:tcW w:w="1032" w:type="dxa"/>
            <w:gridSpan w:val="2"/>
            <w:tcBorders>
              <w:bottom w:val="single" w:sz="4" w:space="0" w:color="auto"/>
            </w:tcBorders>
            <w:shd w:val="clear" w:color="auto" w:fill="FFFFFF" w:themeFill="background1"/>
          </w:tcPr>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tc>
        <w:tc>
          <w:tcPr>
            <w:tcW w:w="1066" w:type="dxa"/>
            <w:gridSpan w:val="2"/>
            <w:tcBorders>
              <w:bottom w:val="single" w:sz="4" w:space="0" w:color="auto"/>
            </w:tcBorders>
            <w:shd w:val="clear" w:color="auto" w:fill="FFFFFF" w:themeFill="background1"/>
            <w:tcMar>
              <w:top w:w="58" w:type="dxa"/>
              <w:left w:w="115" w:type="dxa"/>
              <w:bottom w:w="58" w:type="dxa"/>
              <w:right w:w="115" w:type="dxa"/>
            </w:tcMar>
          </w:tcPr>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6B12BB" w:rsidP="000D0AFE">
            <w:pPr>
              <w:widowControl/>
              <w:tabs>
                <w:tab w:val="left" w:pos="360"/>
              </w:tabs>
              <w:spacing w:after="0"/>
              <w:jc w:val="center"/>
              <w:rPr>
                <w:sz w:val="18"/>
                <w:szCs w:val="18"/>
              </w:rPr>
            </w:pPr>
            <w:r w:rsidRPr="008348B1">
              <w:rPr>
                <w:sz w:val="18"/>
                <w:szCs w:val="18"/>
              </w:rPr>
              <w:t>7,734</w:t>
            </w:r>
          </w:p>
        </w:tc>
        <w:tc>
          <w:tcPr>
            <w:tcW w:w="1153" w:type="dxa"/>
            <w:gridSpan w:val="2"/>
            <w:tcBorders>
              <w:bottom w:val="single" w:sz="4" w:space="0" w:color="auto"/>
            </w:tcBorders>
            <w:shd w:val="clear" w:color="auto" w:fill="FFFFFF" w:themeFill="background1"/>
          </w:tcPr>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p w:rsidR="00F559AA" w:rsidRPr="008348B1" w:rsidRDefault="00F559AA" w:rsidP="000D0AFE">
            <w:pPr>
              <w:widowControl/>
              <w:tabs>
                <w:tab w:val="left" w:pos="360"/>
              </w:tabs>
              <w:spacing w:after="0"/>
              <w:jc w:val="center"/>
              <w:rPr>
                <w:sz w:val="18"/>
                <w:szCs w:val="18"/>
              </w:rPr>
            </w:pPr>
            <w:r w:rsidRPr="008348B1">
              <w:rPr>
                <w:sz w:val="18"/>
                <w:szCs w:val="18"/>
              </w:rPr>
              <w:t>—</w:t>
            </w:r>
          </w:p>
        </w:tc>
        <w:tc>
          <w:tcPr>
            <w:tcW w:w="902" w:type="dxa"/>
            <w:gridSpan w:val="2"/>
            <w:tcBorders>
              <w:bottom w:val="single" w:sz="4" w:space="0" w:color="auto"/>
            </w:tcBorders>
            <w:shd w:val="clear" w:color="auto" w:fill="FFFFFF" w:themeFill="background1"/>
          </w:tcPr>
          <w:p w:rsidR="00F559AA" w:rsidRPr="008348B1" w:rsidRDefault="00F559AA" w:rsidP="00F559AA">
            <w:pPr>
              <w:widowControl/>
              <w:tabs>
                <w:tab w:val="left" w:pos="360"/>
              </w:tabs>
              <w:spacing w:after="0"/>
              <w:jc w:val="center"/>
              <w:rPr>
                <w:sz w:val="18"/>
                <w:szCs w:val="18"/>
              </w:rPr>
            </w:pPr>
            <w:r w:rsidRPr="008348B1">
              <w:rPr>
                <w:sz w:val="18"/>
                <w:szCs w:val="18"/>
              </w:rPr>
              <w:t>2,090</w:t>
            </w:r>
          </w:p>
          <w:p w:rsidR="00F559AA" w:rsidRPr="008348B1" w:rsidRDefault="00F559AA" w:rsidP="00F559AA">
            <w:pPr>
              <w:widowControl/>
              <w:tabs>
                <w:tab w:val="left" w:pos="360"/>
              </w:tabs>
              <w:spacing w:after="0"/>
              <w:jc w:val="center"/>
              <w:rPr>
                <w:sz w:val="18"/>
                <w:szCs w:val="18"/>
              </w:rPr>
            </w:pPr>
            <w:r w:rsidRPr="008348B1">
              <w:rPr>
                <w:sz w:val="18"/>
                <w:szCs w:val="18"/>
              </w:rPr>
              <w:t>12,540</w:t>
            </w:r>
          </w:p>
          <w:p w:rsidR="00F559AA" w:rsidRPr="008348B1" w:rsidRDefault="00F74FF2" w:rsidP="000D0AFE">
            <w:pPr>
              <w:widowControl/>
              <w:tabs>
                <w:tab w:val="left" w:pos="360"/>
              </w:tabs>
              <w:spacing w:after="0"/>
              <w:jc w:val="center"/>
              <w:rPr>
                <w:sz w:val="18"/>
                <w:szCs w:val="18"/>
              </w:rPr>
            </w:pPr>
            <w:r w:rsidRPr="008348B1">
              <w:rPr>
                <w:sz w:val="18"/>
                <w:szCs w:val="18"/>
              </w:rPr>
              <w:t>—</w:t>
            </w:r>
          </w:p>
        </w:tc>
        <w:tc>
          <w:tcPr>
            <w:tcW w:w="1192" w:type="dxa"/>
            <w:gridSpan w:val="2"/>
            <w:tcBorders>
              <w:bottom w:val="single" w:sz="4" w:space="0" w:color="auto"/>
            </w:tcBorders>
            <w:shd w:val="clear" w:color="auto" w:fill="FFFFFF" w:themeFill="background1"/>
          </w:tcPr>
          <w:p w:rsidR="00F559AA" w:rsidRPr="008348B1" w:rsidRDefault="00DE3209" w:rsidP="000D0AFE">
            <w:pPr>
              <w:widowControl/>
              <w:tabs>
                <w:tab w:val="left" w:pos="360"/>
              </w:tabs>
              <w:spacing w:after="0"/>
              <w:jc w:val="center"/>
              <w:rPr>
                <w:sz w:val="18"/>
                <w:szCs w:val="18"/>
              </w:rPr>
            </w:pPr>
            <w:r w:rsidRPr="008348B1">
              <w:rPr>
                <w:sz w:val="18"/>
                <w:szCs w:val="18"/>
              </w:rPr>
              <w:t>—</w:t>
            </w:r>
          </w:p>
          <w:p w:rsidR="00DE3209" w:rsidRPr="008348B1" w:rsidRDefault="00DE3209" w:rsidP="000D0AFE">
            <w:pPr>
              <w:widowControl/>
              <w:tabs>
                <w:tab w:val="left" w:pos="360"/>
              </w:tabs>
              <w:spacing w:after="0"/>
              <w:jc w:val="center"/>
              <w:rPr>
                <w:sz w:val="18"/>
                <w:szCs w:val="18"/>
              </w:rPr>
            </w:pPr>
            <w:r w:rsidRPr="008348B1">
              <w:rPr>
                <w:sz w:val="18"/>
                <w:szCs w:val="18"/>
              </w:rPr>
              <w:t>—</w:t>
            </w:r>
          </w:p>
          <w:p w:rsidR="00DE3209" w:rsidRPr="008348B1" w:rsidRDefault="0048563B" w:rsidP="0048563B">
            <w:pPr>
              <w:widowControl/>
              <w:tabs>
                <w:tab w:val="left" w:pos="360"/>
              </w:tabs>
              <w:spacing w:after="0"/>
              <w:jc w:val="center"/>
              <w:rPr>
                <w:sz w:val="18"/>
                <w:szCs w:val="18"/>
              </w:rPr>
            </w:pPr>
            <w:r w:rsidRPr="008348B1">
              <w:rPr>
                <w:sz w:val="18"/>
                <w:szCs w:val="18"/>
              </w:rPr>
              <w:t>441,884</w:t>
            </w:r>
          </w:p>
        </w:tc>
      </w:tr>
    </w:tbl>
    <w:p w:rsidR="00ED2F47" w:rsidRPr="00ED2F47" w:rsidRDefault="00EC74BB" w:rsidP="00ED2F47">
      <w:pPr>
        <w:pStyle w:val="ListParagraph"/>
        <w:widowControl/>
        <w:numPr>
          <w:ilvl w:val="0"/>
          <w:numId w:val="46"/>
        </w:numPr>
        <w:tabs>
          <w:tab w:val="left" w:pos="720"/>
        </w:tabs>
        <w:spacing w:before="100" w:after="60"/>
        <w:contextualSpacing w:val="0"/>
        <w:jc w:val="left"/>
        <w:rPr>
          <w:sz w:val="20"/>
        </w:rPr>
      </w:pPr>
      <w:r w:rsidRPr="00ED2F47">
        <w:rPr>
          <w:sz w:val="20"/>
        </w:rPr>
        <w:t xml:space="preserve">Mr. Varello's employment agreement provides that in place of his participation in the Company's health plan, the Company will reimburse him </w:t>
      </w:r>
      <w:r w:rsidR="00274BE6" w:rsidRPr="00ED2F47">
        <w:rPr>
          <w:sz w:val="20"/>
        </w:rPr>
        <w:t xml:space="preserve">for </w:t>
      </w:r>
      <w:r w:rsidRPr="00ED2F47">
        <w:rPr>
          <w:sz w:val="20"/>
        </w:rPr>
        <w:t xml:space="preserve">his out-of-pocket costs of maintaining the family health insurance coverage that he was maintaining prior to becoming Chief Executive Officer, or any replacement coverage that he may elect to obtain from time to time.  </w:t>
      </w:r>
    </w:p>
    <w:p w:rsidR="00C920AA" w:rsidRDefault="00350E0C" w:rsidP="00173C6B">
      <w:pPr>
        <w:widowControl/>
        <w:tabs>
          <w:tab w:val="left" w:pos="720"/>
        </w:tabs>
        <w:spacing w:before="100" w:after="60"/>
        <w:ind w:left="720" w:hanging="360"/>
        <w:jc w:val="left"/>
        <w:rPr>
          <w:sz w:val="20"/>
        </w:rPr>
      </w:pPr>
      <w:r w:rsidRPr="000A5F12">
        <w:rPr>
          <w:sz w:val="20"/>
        </w:rPr>
        <w:lastRenderedPageBreak/>
        <w:t>(</w:t>
      </w:r>
      <w:r w:rsidR="00EC74BB">
        <w:rPr>
          <w:sz w:val="20"/>
        </w:rPr>
        <w:t>2</w:t>
      </w:r>
      <w:r w:rsidRPr="000A5F12">
        <w:rPr>
          <w:sz w:val="20"/>
        </w:rPr>
        <w:t>)</w:t>
      </w:r>
      <w:r w:rsidRPr="000A5F12">
        <w:rPr>
          <w:sz w:val="20"/>
        </w:rPr>
        <w:tab/>
      </w:r>
      <w:r w:rsidR="007B4957">
        <w:rPr>
          <w:sz w:val="20"/>
        </w:rPr>
        <w:t xml:space="preserve">All of </w:t>
      </w:r>
      <w:r w:rsidR="00EC74BB">
        <w:rPr>
          <w:sz w:val="20"/>
        </w:rPr>
        <w:t xml:space="preserve">Mr. MacKenna's </w:t>
      </w:r>
      <w:r w:rsidR="00456396">
        <w:rPr>
          <w:sz w:val="20"/>
        </w:rPr>
        <w:t xml:space="preserve">severance payments </w:t>
      </w:r>
      <w:r w:rsidR="00EC74BB">
        <w:rPr>
          <w:sz w:val="20"/>
        </w:rPr>
        <w:t>were</w:t>
      </w:r>
      <w:r w:rsidR="007B4957">
        <w:rPr>
          <w:sz w:val="20"/>
        </w:rPr>
        <w:t xml:space="preserve"> based on the terms of his employment agreement fo</w:t>
      </w:r>
      <w:r w:rsidR="00EC74BB">
        <w:rPr>
          <w:sz w:val="20"/>
        </w:rPr>
        <w:t xml:space="preserve">r a termination without cause: $147,945 in lieu of 90 days notice of termination; </w:t>
      </w:r>
      <w:r w:rsidR="007B4957">
        <w:rPr>
          <w:sz w:val="20"/>
        </w:rPr>
        <w:t xml:space="preserve">$900,000 for 18-months </w:t>
      </w:r>
      <w:r w:rsidR="00EC74BB">
        <w:rPr>
          <w:sz w:val="20"/>
        </w:rPr>
        <w:t>of salary continuation</w:t>
      </w:r>
      <w:r w:rsidR="007B4957">
        <w:rPr>
          <w:sz w:val="20"/>
        </w:rPr>
        <w:t>; $</w:t>
      </w:r>
      <w:r w:rsidR="00EE276A">
        <w:rPr>
          <w:sz w:val="20"/>
        </w:rPr>
        <w:t>15,304</w:t>
      </w:r>
      <w:r w:rsidR="007B4957">
        <w:rPr>
          <w:sz w:val="20"/>
        </w:rPr>
        <w:t xml:space="preserve"> for COBRA reimbursement</w:t>
      </w:r>
      <w:r w:rsidR="00EC74BB">
        <w:rPr>
          <w:sz w:val="20"/>
        </w:rPr>
        <w:t xml:space="preserve">; </w:t>
      </w:r>
      <w:r w:rsidR="0093530F">
        <w:rPr>
          <w:sz w:val="20"/>
        </w:rPr>
        <w:t xml:space="preserve">$44,641, the value of the acceleration of certain of his restricted stock; </w:t>
      </w:r>
      <w:r w:rsidR="00EC74BB">
        <w:rPr>
          <w:sz w:val="20"/>
        </w:rPr>
        <w:t xml:space="preserve">and $720,000 in payment of his full, target incentive compensation for 2015. </w:t>
      </w:r>
    </w:p>
    <w:p w:rsidR="009A3403" w:rsidRDefault="00C920AA" w:rsidP="00173C6B">
      <w:pPr>
        <w:widowControl/>
        <w:tabs>
          <w:tab w:val="left" w:pos="720"/>
        </w:tabs>
        <w:spacing w:after="60"/>
        <w:ind w:left="720" w:hanging="360"/>
        <w:jc w:val="left"/>
        <w:rPr>
          <w:sz w:val="20"/>
        </w:rPr>
      </w:pPr>
      <w:r>
        <w:rPr>
          <w:sz w:val="20"/>
        </w:rPr>
        <w:tab/>
        <w:t xml:space="preserve">Mr. MacKenna's </w:t>
      </w:r>
      <w:r w:rsidR="00EC74BB">
        <w:rPr>
          <w:sz w:val="20"/>
        </w:rPr>
        <w:t xml:space="preserve">COBRA reimbursements </w:t>
      </w:r>
      <w:r w:rsidR="009A2289">
        <w:rPr>
          <w:sz w:val="20"/>
        </w:rPr>
        <w:t xml:space="preserve"> </w:t>
      </w:r>
      <w:r w:rsidR="00EF3FAD">
        <w:rPr>
          <w:sz w:val="20"/>
        </w:rPr>
        <w:t xml:space="preserve">for 2013 and 2014 </w:t>
      </w:r>
      <w:r w:rsidR="005463E2">
        <w:rPr>
          <w:sz w:val="20"/>
        </w:rPr>
        <w:t>were</w:t>
      </w:r>
      <w:r w:rsidR="00EC74BB">
        <w:rPr>
          <w:sz w:val="20"/>
        </w:rPr>
        <w:t xml:space="preserve"> based on his </w:t>
      </w:r>
      <w:r w:rsidR="000248BD">
        <w:rPr>
          <w:sz w:val="20"/>
        </w:rPr>
        <w:t xml:space="preserve">employment agreement </w:t>
      </w:r>
      <w:r w:rsidR="00EC74BB">
        <w:rPr>
          <w:sz w:val="20"/>
        </w:rPr>
        <w:t xml:space="preserve">that </w:t>
      </w:r>
      <w:r w:rsidR="000248BD">
        <w:rPr>
          <w:sz w:val="20"/>
        </w:rPr>
        <w:t>provided</w:t>
      </w:r>
      <w:r w:rsidR="00350E0C" w:rsidRPr="00371CE4">
        <w:rPr>
          <w:sz w:val="20"/>
        </w:rPr>
        <w:t xml:space="preserve"> that in lieu of participating in the Company's health insurance program, </w:t>
      </w:r>
      <w:r w:rsidR="00350E0C" w:rsidRPr="000A5F12">
        <w:rPr>
          <w:sz w:val="20"/>
        </w:rPr>
        <w:t xml:space="preserve">he </w:t>
      </w:r>
      <w:r w:rsidR="000248BD">
        <w:rPr>
          <w:sz w:val="20"/>
        </w:rPr>
        <w:t xml:space="preserve">could </w:t>
      </w:r>
      <w:r w:rsidR="00350E0C" w:rsidRPr="000A5F12">
        <w:rPr>
          <w:sz w:val="20"/>
        </w:rPr>
        <w:t>elect to have the Company reimburse him the cost of maintaining the health coverage of his former employer pursuant to the applicable provisions of the Consolidated Omnibus Budget Reconciliation Act of 1</w:t>
      </w:r>
      <w:r w:rsidR="005C386F">
        <w:rPr>
          <w:sz w:val="20"/>
        </w:rPr>
        <w:t>985 (COBRA) for so long as it was</w:t>
      </w:r>
      <w:r w:rsidR="00350E0C" w:rsidRPr="000A5F12">
        <w:rPr>
          <w:sz w:val="20"/>
        </w:rPr>
        <w:t xml:space="preserve"> available to him.  </w:t>
      </w:r>
      <w:r w:rsidR="00EC74BB">
        <w:rPr>
          <w:sz w:val="20"/>
        </w:rPr>
        <w:t>These</w:t>
      </w:r>
      <w:r w:rsidR="000248BD">
        <w:rPr>
          <w:sz w:val="20"/>
        </w:rPr>
        <w:t xml:space="preserve"> COBRA reimbursements ceased in March 2014.  </w:t>
      </w:r>
    </w:p>
    <w:p w:rsidR="0048563B" w:rsidRPr="000A5F12" w:rsidRDefault="00C920AA" w:rsidP="00173C6B">
      <w:pPr>
        <w:widowControl/>
        <w:tabs>
          <w:tab w:val="left" w:pos="720"/>
        </w:tabs>
        <w:ind w:left="720" w:hanging="360"/>
        <w:jc w:val="left"/>
        <w:rPr>
          <w:sz w:val="20"/>
        </w:rPr>
      </w:pPr>
      <w:r>
        <w:rPr>
          <w:sz w:val="20"/>
        </w:rPr>
        <w:t>(3</w:t>
      </w:r>
      <w:r w:rsidR="00EA0ED7">
        <w:rPr>
          <w:sz w:val="20"/>
        </w:rPr>
        <w:t>)</w:t>
      </w:r>
      <w:r w:rsidR="00EA0ED7">
        <w:rPr>
          <w:sz w:val="20"/>
        </w:rPr>
        <w:tab/>
      </w:r>
      <w:r w:rsidR="00EC74BB">
        <w:rPr>
          <w:sz w:val="20"/>
        </w:rPr>
        <w:t xml:space="preserve">Mr. Wright's severance payment </w:t>
      </w:r>
      <w:r w:rsidR="0048563B">
        <w:rPr>
          <w:sz w:val="20"/>
        </w:rPr>
        <w:t>is the grant-date fair market value ($4.15</w:t>
      </w:r>
      <w:r w:rsidR="008B3BB2">
        <w:rPr>
          <w:sz w:val="20"/>
        </w:rPr>
        <w:t xml:space="preserve"> per share</w:t>
      </w:r>
      <w:r w:rsidR="0048563B">
        <w:rPr>
          <w:sz w:val="20"/>
        </w:rPr>
        <w:t xml:space="preserve">) of </w:t>
      </w:r>
      <w:r w:rsidR="00EC74BB">
        <w:rPr>
          <w:sz w:val="20"/>
        </w:rPr>
        <w:t xml:space="preserve">the </w:t>
      </w:r>
      <w:r w:rsidR="001215A5">
        <w:rPr>
          <w:sz w:val="20"/>
        </w:rPr>
        <w:t>106,</w:t>
      </w:r>
      <w:r w:rsidR="00A619DA" w:rsidRPr="00A619DA">
        <w:rPr>
          <w:sz w:val="20"/>
        </w:rPr>
        <w:t>478</w:t>
      </w:r>
      <w:r w:rsidR="001215A5" w:rsidRPr="008E0354">
        <w:rPr>
          <w:sz w:val="20"/>
        </w:rPr>
        <w:t xml:space="preserve"> </w:t>
      </w:r>
      <w:r w:rsidR="004C5E7F">
        <w:rPr>
          <w:sz w:val="20"/>
        </w:rPr>
        <w:t xml:space="preserve">unrestricted </w:t>
      </w:r>
      <w:r w:rsidR="0048563B">
        <w:rPr>
          <w:sz w:val="20"/>
        </w:rPr>
        <w:t xml:space="preserve">shares awarded </w:t>
      </w:r>
      <w:r w:rsidR="00A619DA">
        <w:rPr>
          <w:sz w:val="20"/>
        </w:rPr>
        <w:t>to him</w:t>
      </w:r>
      <w:r w:rsidR="0048563B">
        <w:rPr>
          <w:sz w:val="20"/>
        </w:rPr>
        <w:t>.</w:t>
      </w:r>
      <w:r w:rsidR="004C5E7F">
        <w:rPr>
          <w:sz w:val="20"/>
        </w:rPr>
        <w:t xml:space="preserve">  </w:t>
      </w:r>
    </w:p>
    <w:p w:rsidR="00AB746D" w:rsidRDefault="00662092" w:rsidP="00975D81">
      <w:pPr>
        <w:widowControl/>
        <w:jc w:val="left"/>
      </w:pPr>
      <w:bookmarkStart w:id="106" w:name="_Toc381354153"/>
      <w:bookmarkStart w:id="107" w:name="_Toc445739596"/>
      <w:r w:rsidRPr="00C12BAD">
        <w:rPr>
          <w:rStyle w:val="003ProxyChar"/>
        </w:rPr>
        <w:t xml:space="preserve">Grants of Plan-Based Awards </w:t>
      </w:r>
      <w:r w:rsidR="00173C6B">
        <w:rPr>
          <w:rStyle w:val="003ProxyChar"/>
        </w:rPr>
        <w:t xml:space="preserve">in </w:t>
      </w:r>
      <w:r w:rsidRPr="00C12BAD">
        <w:rPr>
          <w:rStyle w:val="003ProxyChar"/>
        </w:rPr>
        <w:t>201</w:t>
      </w:r>
      <w:bookmarkEnd w:id="106"/>
      <w:r w:rsidR="007C217F">
        <w:rPr>
          <w:rStyle w:val="003ProxyChar"/>
        </w:rPr>
        <w:t>5</w:t>
      </w:r>
      <w:bookmarkEnd w:id="107"/>
      <w:r>
        <w:t xml:space="preserve">.  The following table shows each grant of an award </w:t>
      </w:r>
      <w:r w:rsidR="00C76681">
        <w:t xml:space="preserve">in </w:t>
      </w:r>
      <w:r>
        <w:t>201</w:t>
      </w:r>
      <w:r w:rsidR="00975D81">
        <w:t>5</w:t>
      </w:r>
      <w:r>
        <w:t xml:space="preserve"> to named executive officers under a Company plan.  No grants of stock options were made to the named executive officers in 201</w:t>
      </w:r>
      <w:r w:rsidR="00975D81">
        <w:t>5</w:t>
      </w:r>
      <w:r w:rsidR="005E228F">
        <w:t>, and no named executive officer holds a stock option</w:t>
      </w:r>
      <w:r>
        <w:t xml:space="preserve">.  </w:t>
      </w:r>
      <w:r w:rsidR="00124787">
        <w:t>A</w:t>
      </w:r>
      <w:r w:rsidR="00C728E8">
        <w:t xml:space="preserve"> portion of incentive compensation for 201</w:t>
      </w:r>
      <w:r w:rsidR="00975D81">
        <w:t>5</w:t>
      </w:r>
      <w:r w:rsidR="00C728E8">
        <w:t xml:space="preserve"> </w:t>
      </w:r>
      <w:r w:rsidR="00A3736E">
        <w:t>was</w:t>
      </w:r>
      <w:r w:rsidR="00F85668">
        <w:t xml:space="preserve"> </w:t>
      </w:r>
      <w:r w:rsidR="00C728E8">
        <w:t>calculated in dollars</w:t>
      </w:r>
      <w:r w:rsidR="00124787">
        <w:t xml:space="preserve">, but </w:t>
      </w:r>
      <w:r w:rsidR="00A3736E">
        <w:t>was</w:t>
      </w:r>
      <w:r w:rsidR="00124787">
        <w:t xml:space="preserve"> </w:t>
      </w:r>
      <w:r w:rsidR="00C728E8">
        <w:t xml:space="preserve">paid in </w:t>
      </w:r>
      <w:r w:rsidR="008C0AD6">
        <w:t xml:space="preserve">shares of </w:t>
      </w:r>
      <w:r w:rsidR="00C728E8">
        <w:t>restricted stock</w:t>
      </w:r>
      <w:r w:rsidR="00124787">
        <w:t xml:space="preserve">.  For </w:t>
      </w:r>
      <w:r w:rsidR="00124787" w:rsidRPr="001F28C7">
        <w:t xml:space="preserve">amounts </w:t>
      </w:r>
      <w:r w:rsidR="00124787">
        <w:t>actually paid for 201</w:t>
      </w:r>
      <w:r w:rsidR="00975D81">
        <w:t>5</w:t>
      </w:r>
      <w:r w:rsidR="00124787">
        <w:t xml:space="preserve">, see </w:t>
      </w:r>
      <w:r w:rsidR="00124787" w:rsidRPr="001F28C7">
        <w:t xml:space="preserve">the </w:t>
      </w:r>
      <w:r w:rsidR="00124787" w:rsidRPr="001F28C7">
        <w:rPr>
          <w:i/>
        </w:rPr>
        <w:t>Summary Compensation Table for 201</w:t>
      </w:r>
      <w:r w:rsidR="00975D81">
        <w:rPr>
          <w:i/>
        </w:rPr>
        <w:t>5</w:t>
      </w:r>
      <w:r w:rsidR="00124787" w:rsidRPr="001F28C7">
        <w:t xml:space="preserve">, above.  </w:t>
      </w:r>
      <w:r w:rsidR="00975D81">
        <w:t>Mr</w:t>
      </w:r>
      <w:r w:rsidR="00E15BA2">
        <w:t>.</w:t>
      </w:r>
      <w:r w:rsidR="00CA5066">
        <w:t> </w:t>
      </w:r>
      <w:r w:rsidR="00E15BA2">
        <w:t>MacKenna</w:t>
      </w:r>
      <w:r w:rsidR="00975D81">
        <w:t xml:space="preserve"> </w:t>
      </w:r>
      <w:r w:rsidR="00E15BA2">
        <w:t>left the Company in January 2015</w:t>
      </w:r>
      <w:r w:rsidR="00CA5066">
        <w:t xml:space="preserve"> and Mr. Wright left the Company in July 2015.</w:t>
      </w:r>
      <w:r w:rsidR="00975D81">
        <w:t xml:space="preserve">  </w:t>
      </w:r>
    </w:p>
    <w:tbl>
      <w:tblPr>
        <w:tblStyle w:val="TableGrid"/>
        <w:tblW w:w="8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468"/>
        <w:gridCol w:w="1284"/>
        <w:gridCol w:w="1139"/>
        <w:gridCol w:w="1281"/>
        <w:gridCol w:w="1323"/>
        <w:gridCol w:w="1323"/>
      </w:tblGrid>
      <w:tr w:rsidR="00BD573C" w:rsidTr="00BD573C">
        <w:trPr>
          <w:cantSplit/>
          <w:jc w:val="center"/>
        </w:trPr>
        <w:tc>
          <w:tcPr>
            <w:tcW w:w="2468" w:type="dxa"/>
            <w:tcMar>
              <w:top w:w="58" w:type="dxa"/>
              <w:left w:w="115" w:type="dxa"/>
              <w:bottom w:w="0" w:type="dxa"/>
              <w:right w:w="115" w:type="dxa"/>
            </w:tcMar>
            <w:vAlign w:val="bottom"/>
          </w:tcPr>
          <w:p w:rsidR="00BD573C" w:rsidRPr="00760ED4" w:rsidRDefault="00BD573C" w:rsidP="00FF35EC">
            <w:pPr>
              <w:widowControl/>
              <w:tabs>
                <w:tab w:val="left" w:pos="360"/>
              </w:tabs>
              <w:spacing w:after="0"/>
              <w:jc w:val="center"/>
              <w:rPr>
                <w:sz w:val="18"/>
                <w:szCs w:val="18"/>
              </w:rPr>
            </w:pPr>
          </w:p>
        </w:tc>
        <w:tc>
          <w:tcPr>
            <w:tcW w:w="3704" w:type="dxa"/>
            <w:gridSpan w:val="3"/>
            <w:tcMar>
              <w:top w:w="58" w:type="dxa"/>
              <w:left w:w="115" w:type="dxa"/>
              <w:bottom w:w="0" w:type="dxa"/>
              <w:right w:w="115" w:type="dxa"/>
            </w:tcMar>
            <w:vAlign w:val="bottom"/>
          </w:tcPr>
          <w:p w:rsidR="00BD573C" w:rsidRDefault="00BD573C" w:rsidP="00FF35EC">
            <w:pPr>
              <w:widowControl/>
              <w:tabs>
                <w:tab w:val="left" w:pos="360"/>
              </w:tabs>
              <w:spacing w:after="0"/>
              <w:jc w:val="center"/>
              <w:rPr>
                <w:b/>
                <w:sz w:val="18"/>
                <w:szCs w:val="18"/>
              </w:rPr>
            </w:pPr>
            <w:r w:rsidRPr="005F75EE">
              <w:rPr>
                <w:b/>
                <w:sz w:val="18"/>
                <w:szCs w:val="18"/>
              </w:rPr>
              <w:t>Estimated Possible Payouts</w:t>
            </w:r>
            <w:r>
              <w:rPr>
                <w:b/>
                <w:sz w:val="18"/>
                <w:szCs w:val="18"/>
              </w:rPr>
              <w:t xml:space="preserve"> </w:t>
            </w:r>
            <w:r w:rsidRPr="005F75EE">
              <w:rPr>
                <w:b/>
                <w:sz w:val="18"/>
                <w:szCs w:val="18"/>
              </w:rPr>
              <w:t xml:space="preserve">Under </w:t>
            </w:r>
          </w:p>
          <w:p w:rsidR="00BD573C" w:rsidRPr="005F75EE" w:rsidRDefault="00BD573C" w:rsidP="00FF35EC">
            <w:pPr>
              <w:widowControl/>
              <w:tabs>
                <w:tab w:val="left" w:pos="360"/>
              </w:tabs>
              <w:spacing w:after="0"/>
              <w:jc w:val="center"/>
              <w:rPr>
                <w:b/>
                <w:sz w:val="18"/>
                <w:szCs w:val="18"/>
              </w:rPr>
            </w:pPr>
            <w:r w:rsidRPr="005F75EE">
              <w:rPr>
                <w:b/>
                <w:sz w:val="18"/>
                <w:szCs w:val="18"/>
              </w:rPr>
              <w:t>Non-Equity Incentive</w:t>
            </w:r>
          </w:p>
          <w:p w:rsidR="00BD573C" w:rsidRDefault="00BD573C" w:rsidP="00FF35EC">
            <w:pPr>
              <w:widowControl/>
              <w:tabs>
                <w:tab w:val="left" w:pos="360"/>
              </w:tabs>
              <w:spacing w:after="0"/>
              <w:jc w:val="center"/>
              <w:rPr>
                <w:b/>
                <w:sz w:val="18"/>
                <w:szCs w:val="18"/>
              </w:rPr>
            </w:pPr>
            <w:r w:rsidRPr="005F75EE">
              <w:rPr>
                <w:b/>
                <w:sz w:val="18"/>
                <w:szCs w:val="18"/>
              </w:rPr>
              <w:t>Plan Awards</w:t>
            </w:r>
          </w:p>
          <w:p w:rsidR="00BD573C" w:rsidRPr="005F75EE" w:rsidRDefault="00BD573C" w:rsidP="00FF35EC">
            <w:pPr>
              <w:widowControl/>
              <w:tabs>
                <w:tab w:val="left" w:pos="360"/>
              </w:tabs>
              <w:spacing w:after="0"/>
              <w:jc w:val="center"/>
              <w:rPr>
                <w:b/>
                <w:sz w:val="18"/>
                <w:szCs w:val="18"/>
              </w:rPr>
            </w:pPr>
            <w:r>
              <w:rPr>
                <w:b/>
                <w:sz w:val="18"/>
                <w:szCs w:val="18"/>
              </w:rPr>
              <w:t>($)</w:t>
            </w:r>
          </w:p>
        </w:tc>
        <w:tc>
          <w:tcPr>
            <w:tcW w:w="1323" w:type="dxa"/>
            <w:vAlign w:val="bottom"/>
          </w:tcPr>
          <w:p w:rsidR="00BD573C" w:rsidRPr="00BD573C" w:rsidRDefault="00BD573C" w:rsidP="00BD573C">
            <w:pPr>
              <w:widowControl/>
              <w:tabs>
                <w:tab w:val="left" w:pos="360"/>
              </w:tabs>
              <w:spacing w:after="0"/>
              <w:jc w:val="center"/>
              <w:rPr>
                <w:b/>
                <w:sz w:val="18"/>
                <w:szCs w:val="18"/>
              </w:rPr>
            </w:pPr>
            <w:r w:rsidRPr="00BD573C">
              <w:rPr>
                <w:b/>
                <w:sz w:val="18"/>
                <w:szCs w:val="18"/>
              </w:rPr>
              <w:t>All</w:t>
            </w:r>
          </w:p>
          <w:p w:rsidR="00BD573C" w:rsidRPr="00BD573C" w:rsidRDefault="00BD573C" w:rsidP="00BD573C">
            <w:pPr>
              <w:widowControl/>
              <w:tabs>
                <w:tab w:val="left" w:pos="360"/>
              </w:tabs>
              <w:spacing w:after="0"/>
              <w:jc w:val="center"/>
              <w:rPr>
                <w:b/>
                <w:sz w:val="18"/>
                <w:szCs w:val="18"/>
              </w:rPr>
            </w:pPr>
            <w:r w:rsidRPr="00BD573C">
              <w:rPr>
                <w:b/>
                <w:sz w:val="18"/>
                <w:szCs w:val="18"/>
              </w:rPr>
              <w:t>Other</w:t>
            </w:r>
          </w:p>
          <w:p w:rsidR="00BD573C" w:rsidRPr="00BD573C" w:rsidRDefault="00BD573C" w:rsidP="00BD573C">
            <w:pPr>
              <w:widowControl/>
              <w:tabs>
                <w:tab w:val="left" w:pos="360"/>
              </w:tabs>
              <w:spacing w:after="0"/>
              <w:jc w:val="center"/>
              <w:rPr>
                <w:b/>
                <w:sz w:val="18"/>
                <w:szCs w:val="18"/>
              </w:rPr>
            </w:pPr>
            <w:r w:rsidRPr="00BD573C">
              <w:rPr>
                <w:b/>
                <w:sz w:val="18"/>
                <w:szCs w:val="18"/>
              </w:rPr>
              <w:t>Stock</w:t>
            </w:r>
          </w:p>
          <w:p w:rsidR="00BD573C" w:rsidRPr="00BD573C" w:rsidRDefault="00BD573C" w:rsidP="00BD573C">
            <w:pPr>
              <w:widowControl/>
              <w:tabs>
                <w:tab w:val="left" w:pos="360"/>
              </w:tabs>
              <w:spacing w:after="0"/>
              <w:jc w:val="center"/>
              <w:rPr>
                <w:b/>
                <w:sz w:val="18"/>
                <w:szCs w:val="18"/>
              </w:rPr>
            </w:pPr>
            <w:r w:rsidRPr="00BD573C">
              <w:rPr>
                <w:b/>
                <w:sz w:val="18"/>
                <w:szCs w:val="18"/>
              </w:rPr>
              <w:t>Awards:</w:t>
            </w:r>
          </w:p>
          <w:p w:rsidR="00BD573C" w:rsidRPr="00BD573C" w:rsidRDefault="00BD573C" w:rsidP="00BD573C">
            <w:pPr>
              <w:widowControl/>
              <w:tabs>
                <w:tab w:val="left" w:pos="360"/>
              </w:tabs>
              <w:spacing w:after="0"/>
              <w:jc w:val="center"/>
              <w:rPr>
                <w:b/>
                <w:sz w:val="18"/>
                <w:szCs w:val="18"/>
              </w:rPr>
            </w:pPr>
            <w:r w:rsidRPr="00BD573C">
              <w:rPr>
                <w:b/>
                <w:sz w:val="18"/>
                <w:szCs w:val="18"/>
              </w:rPr>
              <w:t>Number</w:t>
            </w:r>
          </w:p>
          <w:p w:rsidR="00BD573C" w:rsidRPr="00BD573C" w:rsidRDefault="00BD573C" w:rsidP="00BD573C">
            <w:pPr>
              <w:widowControl/>
              <w:tabs>
                <w:tab w:val="left" w:pos="360"/>
              </w:tabs>
              <w:spacing w:after="0"/>
              <w:jc w:val="center"/>
              <w:rPr>
                <w:b/>
                <w:sz w:val="18"/>
                <w:szCs w:val="18"/>
              </w:rPr>
            </w:pPr>
            <w:r w:rsidRPr="00BD573C">
              <w:rPr>
                <w:b/>
                <w:sz w:val="18"/>
                <w:szCs w:val="18"/>
              </w:rPr>
              <w:t>of</w:t>
            </w:r>
          </w:p>
          <w:p w:rsidR="00BD573C" w:rsidRPr="00BD573C" w:rsidRDefault="00BD573C" w:rsidP="00BD573C">
            <w:pPr>
              <w:widowControl/>
              <w:tabs>
                <w:tab w:val="left" w:pos="360"/>
              </w:tabs>
              <w:spacing w:after="0"/>
              <w:jc w:val="center"/>
              <w:rPr>
                <w:b/>
                <w:sz w:val="18"/>
                <w:szCs w:val="18"/>
              </w:rPr>
            </w:pPr>
            <w:r w:rsidRPr="00BD573C">
              <w:rPr>
                <w:b/>
                <w:sz w:val="18"/>
                <w:szCs w:val="18"/>
              </w:rPr>
              <w:t>Shares</w:t>
            </w:r>
          </w:p>
          <w:p w:rsidR="00BD573C" w:rsidRPr="00BD573C" w:rsidRDefault="00BD573C" w:rsidP="00BD573C">
            <w:pPr>
              <w:widowControl/>
              <w:tabs>
                <w:tab w:val="left" w:pos="360"/>
              </w:tabs>
              <w:spacing w:after="0"/>
              <w:jc w:val="center"/>
              <w:rPr>
                <w:b/>
                <w:sz w:val="18"/>
                <w:szCs w:val="18"/>
              </w:rPr>
            </w:pPr>
            <w:r w:rsidRPr="00BD573C">
              <w:rPr>
                <w:b/>
                <w:sz w:val="18"/>
                <w:szCs w:val="18"/>
              </w:rPr>
              <w:t>of Stock</w:t>
            </w:r>
          </w:p>
          <w:p w:rsidR="00BD573C" w:rsidRPr="005F75EE" w:rsidRDefault="00BD573C" w:rsidP="008772D5">
            <w:pPr>
              <w:widowControl/>
              <w:tabs>
                <w:tab w:val="left" w:pos="360"/>
              </w:tabs>
              <w:spacing w:after="0"/>
              <w:jc w:val="center"/>
              <w:rPr>
                <w:b/>
                <w:sz w:val="18"/>
                <w:szCs w:val="18"/>
              </w:rPr>
            </w:pPr>
            <w:r w:rsidRPr="00BD573C">
              <w:rPr>
                <w:b/>
                <w:sz w:val="18"/>
                <w:szCs w:val="18"/>
              </w:rPr>
              <w:t>or Units</w:t>
            </w:r>
          </w:p>
        </w:tc>
        <w:tc>
          <w:tcPr>
            <w:tcW w:w="1323" w:type="dxa"/>
            <w:vAlign w:val="bottom"/>
          </w:tcPr>
          <w:p w:rsidR="00BD573C" w:rsidRPr="00BD573C" w:rsidRDefault="00BD573C" w:rsidP="00BD573C">
            <w:pPr>
              <w:widowControl/>
              <w:tabs>
                <w:tab w:val="left" w:pos="360"/>
              </w:tabs>
              <w:spacing w:after="0"/>
              <w:jc w:val="center"/>
              <w:rPr>
                <w:b/>
                <w:sz w:val="18"/>
                <w:szCs w:val="18"/>
              </w:rPr>
            </w:pPr>
            <w:r w:rsidRPr="00BD573C">
              <w:rPr>
                <w:b/>
                <w:sz w:val="18"/>
                <w:szCs w:val="18"/>
              </w:rPr>
              <w:t>Grant</w:t>
            </w:r>
          </w:p>
          <w:p w:rsidR="00BD573C" w:rsidRPr="00BD573C" w:rsidRDefault="00BD573C" w:rsidP="00BD573C">
            <w:pPr>
              <w:widowControl/>
              <w:tabs>
                <w:tab w:val="left" w:pos="360"/>
              </w:tabs>
              <w:spacing w:after="0"/>
              <w:jc w:val="center"/>
              <w:rPr>
                <w:b/>
                <w:sz w:val="18"/>
                <w:szCs w:val="18"/>
              </w:rPr>
            </w:pPr>
            <w:r w:rsidRPr="00BD573C">
              <w:rPr>
                <w:b/>
                <w:sz w:val="18"/>
                <w:szCs w:val="18"/>
              </w:rPr>
              <w:t>Date</w:t>
            </w:r>
          </w:p>
          <w:p w:rsidR="00BD573C" w:rsidRPr="00BD573C" w:rsidRDefault="00BD573C" w:rsidP="00BD573C">
            <w:pPr>
              <w:widowControl/>
              <w:tabs>
                <w:tab w:val="left" w:pos="360"/>
              </w:tabs>
              <w:spacing w:after="0"/>
              <w:jc w:val="center"/>
              <w:rPr>
                <w:b/>
                <w:sz w:val="18"/>
                <w:szCs w:val="18"/>
              </w:rPr>
            </w:pPr>
            <w:r w:rsidRPr="00BD573C">
              <w:rPr>
                <w:b/>
                <w:sz w:val="18"/>
                <w:szCs w:val="18"/>
              </w:rPr>
              <w:t>Fair</w:t>
            </w:r>
          </w:p>
          <w:p w:rsidR="00BD573C" w:rsidRPr="00BD573C" w:rsidRDefault="00BD573C" w:rsidP="00BD573C">
            <w:pPr>
              <w:widowControl/>
              <w:tabs>
                <w:tab w:val="left" w:pos="360"/>
              </w:tabs>
              <w:spacing w:after="0"/>
              <w:jc w:val="center"/>
              <w:rPr>
                <w:b/>
                <w:sz w:val="18"/>
                <w:szCs w:val="18"/>
              </w:rPr>
            </w:pPr>
            <w:r w:rsidRPr="00BD573C">
              <w:rPr>
                <w:b/>
                <w:sz w:val="18"/>
                <w:szCs w:val="18"/>
              </w:rPr>
              <w:t>Value of Stock</w:t>
            </w:r>
          </w:p>
          <w:p w:rsidR="00BD573C" w:rsidRPr="00BD573C" w:rsidRDefault="00BD573C" w:rsidP="00BD573C">
            <w:pPr>
              <w:widowControl/>
              <w:tabs>
                <w:tab w:val="left" w:pos="360"/>
              </w:tabs>
              <w:spacing w:after="0"/>
              <w:jc w:val="center"/>
              <w:rPr>
                <w:b/>
                <w:sz w:val="18"/>
                <w:szCs w:val="18"/>
              </w:rPr>
            </w:pPr>
            <w:r w:rsidRPr="00BD573C">
              <w:rPr>
                <w:b/>
                <w:sz w:val="18"/>
                <w:szCs w:val="18"/>
              </w:rPr>
              <w:t>and Option</w:t>
            </w:r>
          </w:p>
          <w:p w:rsidR="00BD573C" w:rsidRPr="00BD573C" w:rsidRDefault="00BD573C" w:rsidP="00BD573C">
            <w:pPr>
              <w:widowControl/>
              <w:tabs>
                <w:tab w:val="left" w:pos="360"/>
              </w:tabs>
              <w:spacing w:after="0"/>
              <w:jc w:val="center"/>
              <w:rPr>
                <w:b/>
                <w:sz w:val="18"/>
                <w:szCs w:val="18"/>
              </w:rPr>
            </w:pPr>
            <w:r w:rsidRPr="00BD573C">
              <w:rPr>
                <w:b/>
                <w:sz w:val="18"/>
                <w:szCs w:val="18"/>
              </w:rPr>
              <w:t>Awards</w:t>
            </w:r>
          </w:p>
        </w:tc>
      </w:tr>
      <w:tr w:rsidR="00BD573C" w:rsidRPr="00E15BA2" w:rsidTr="00BD573C">
        <w:trPr>
          <w:cantSplit/>
          <w:jc w:val="center"/>
        </w:trPr>
        <w:tc>
          <w:tcPr>
            <w:tcW w:w="2468" w:type="dxa"/>
            <w:tcBorders>
              <w:bottom w:val="single" w:sz="4" w:space="0" w:color="auto"/>
            </w:tcBorders>
            <w:tcMar>
              <w:top w:w="58" w:type="dxa"/>
              <w:left w:w="115" w:type="dxa"/>
              <w:bottom w:w="58" w:type="dxa"/>
              <w:right w:w="115" w:type="dxa"/>
            </w:tcMar>
          </w:tcPr>
          <w:p w:rsidR="00BD573C" w:rsidRPr="00E15BA2" w:rsidRDefault="00BD573C" w:rsidP="00075F08">
            <w:pPr>
              <w:widowControl/>
              <w:tabs>
                <w:tab w:val="left" w:pos="360"/>
              </w:tabs>
              <w:spacing w:after="0"/>
              <w:jc w:val="left"/>
              <w:rPr>
                <w:sz w:val="20"/>
              </w:rPr>
            </w:pPr>
            <w:r>
              <w:rPr>
                <w:b/>
                <w:sz w:val="18"/>
                <w:szCs w:val="18"/>
              </w:rPr>
              <w:t xml:space="preserve">Executive's </w:t>
            </w:r>
            <w:r w:rsidRPr="005F75EE">
              <w:rPr>
                <w:b/>
                <w:sz w:val="18"/>
                <w:szCs w:val="18"/>
              </w:rPr>
              <w:t>Name</w:t>
            </w:r>
          </w:p>
        </w:tc>
        <w:tc>
          <w:tcPr>
            <w:tcW w:w="1284" w:type="dxa"/>
            <w:tcBorders>
              <w:bottom w:val="single" w:sz="4" w:space="0" w:color="auto"/>
            </w:tcBorders>
            <w:tcMar>
              <w:top w:w="58" w:type="dxa"/>
              <w:left w:w="115" w:type="dxa"/>
              <w:bottom w:w="58" w:type="dxa"/>
              <w:right w:w="115" w:type="dxa"/>
            </w:tcMar>
            <w:vAlign w:val="bottom"/>
          </w:tcPr>
          <w:p w:rsidR="00BD573C" w:rsidRPr="00E15BA2" w:rsidRDefault="00BD573C" w:rsidP="00E15BA2">
            <w:pPr>
              <w:widowControl/>
              <w:tabs>
                <w:tab w:val="left" w:pos="360"/>
              </w:tabs>
              <w:spacing w:after="0"/>
              <w:jc w:val="center"/>
              <w:rPr>
                <w:i/>
                <w:sz w:val="20"/>
              </w:rPr>
            </w:pPr>
            <w:r w:rsidRPr="00E15BA2">
              <w:rPr>
                <w:i/>
                <w:sz w:val="20"/>
              </w:rPr>
              <w:t>Threshold</w:t>
            </w:r>
            <w:r>
              <w:rPr>
                <w:b/>
                <w:sz w:val="18"/>
                <w:szCs w:val="18"/>
              </w:rPr>
              <w:t xml:space="preserve"> </w:t>
            </w:r>
            <w:r>
              <w:rPr>
                <w:b/>
                <w:sz w:val="18"/>
                <w:szCs w:val="18"/>
                <w:vertAlign w:val="superscript"/>
              </w:rPr>
              <w:t>(1</w:t>
            </w:r>
            <w:r w:rsidRPr="00F443F3">
              <w:rPr>
                <w:b/>
                <w:sz w:val="18"/>
                <w:szCs w:val="18"/>
                <w:vertAlign w:val="superscript"/>
              </w:rPr>
              <w:t>)</w:t>
            </w:r>
          </w:p>
        </w:tc>
        <w:tc>
          <w:tcPr>
            <w:tcW w:w="1139" w:type="dxa"/>
            <w:tcBorders>
              <w:bottom w:val="single" w:sz="4" w:space="0" w:color="auto"/>
            </w:tcBorders>
            <w:tcMar>
              <w:top w:w="58" w:type="dxa"/>
              <w:left w:w="115" w:type="dxa"/>
              <w:bottom w:w="58" w:type="dxa"/>
              <w:right w:w="115" w:type="dxa"/>
            </w:tcMar>
            <w:vAlign w:val="bottom"/>
          </w:tcPr>
          <w:p w:rsidR="00BD573C" w:rsidRPr="00E15BA2" w:rsidRDefault="00BD573C" w:rsidP="00444675">
            <w:pPr>
              <w:widowControl/>
              <w:tabs>
                <w:tab w:val="left" w:pos="360"/>
              </w:tabs>
              <w:spacing w:after="0"/>
              <w:jc w:val="center"/>
              <w:rPr>
                <w:i/>
                <w:sz w:val="20"/>
              </w:rPr>
            </w:pPr>
            <w:r w:rsidRPr="00E15BA2">
              <w:rPr>
                <w:i/>
                <w:sz w:val="20"/>
              </w:rPr>
              <w:t>Target</w:t>
            </w:r>
            <w:r>
              <w:rPr>
                <w:b/>
                <w:sz w:val="18"/>
                <w:szCs w:val="18"/>
              </w:rPr>
              <w:t xml:space="preserve"> </w:t>
            </w:r>
            <w:r>
              <w:rPr>
                <w:b/>
                <w:sz w:val="18"/>
                <w:szCs w:val="18"/>
                <w:vertAlign w:val="superscript"/>
              </w:rPr>
              <w:t>(2</w:t>
            </w:r>
            <w:r w:rsidRPr="00F443F3">
              <w:rPr>
                <w:b/>
                <w:sz w:val="18"/>
                <w:szCs w:val="18"/>
                <w:vertAlign w:val="superscript"/>
              </w:rPr>
              <w:t>)</w:t>
            </w:r>
          </w:p>
        </w:tc>
        <w:tc>
          <w:tcPr>
            <w:tcW w:w="1281" w:type="dxa"/>
            <w:tcBorders>
              <w:bottom w:val="single" w:sz="4" w:space="0" w:color="auto"/>
            </w:tcBorders>
            <w:tcMar>
              <w:top w:w="58" w:type="dxa"/>
              <w:left w:w="115" w:type="dxa"/>
              <w:bottom w:w="58" w:type="dxa"/>
              <w:right w:w="115" w:type="dxa"/>
            </w:tcMar>
            <w:vAlign w:val="bottom"/>
          </w:tcPr>
          <w:p w:rsidR="00BD573C" w:rsidRPr="00E15BA2" w:rsidRDefault="00BD573C" w:rsidP="00E15BA2">
            <w:pPr>
              <w:widowControl/>
              <w:tabs>
                <w:tab w:val="left" w:pos="360"/>
              </w:tabs>
              <w:spacing w:after="0"/>
              <w:jc w:val="center"/>
              <w:rPr>
                <w:i/>
                <w:sz w:val="20"/>
              </w:rPr>
            </w:pPr>
            <w:r w:rsidRPr="00E15BA2">
              <w:rPr>
                <w:i/>
                <w:sz w:val="20"/>
              </w:rPr>
              <w:t>Maximum</w:t>
            </w:r>
            <w:r>
              <w:rPr>
                <w:i/>
                <w:sz w:val="20"/>
              </w:rPr>
              <w:t xml:space="preserve"> </w:t>
            </w:r>
            <w:r>
              <w:rPr>
                <w:b/>
                <w:sz w:val="18"/>
                <w:szCs w:val="18"/>
                <w:vertAlign w:val="superscript"/>
              </w:rPr>
              <w:t>(3</w:t>
            </w:r>
            <w:r w:rsidRPr="00F443F3">
              <w:rPr>
                <w:b/>
                <w:sz w:val="18"/>
                <w:szCs w:val="18"/>
                <w:vertAlign w:val="superscript"/>
              </w:rPr>
              <w:t>)</w:t>
            </w:r>
          </w:p>
        </w:tc>
        <w:tc>
          <w:tcPr>
            <w:tcW w:w="1323" w:type="dxa"/>
            <w:tcBorders>
              <w:bottom w:val="single" w:sz="4" w:space="0" w:color="auto"/>
            </w:tcBorders>
          </w:tcPr>
          <w:p w:rsidR="00BD573C" w:rsidRPr="00E15BA2" w:rsidRDefault="008772D5" w:rsidP="00E15BA2">
            <w:pPr>
              <w:widowControl/>
              <w:tabs>
                <w:tab w:val="left" w:pos="360"/>
              </w:tabs>
              <w:spacing w:after="0"/>
              <w:jc w:val="center"/>
              <w:rPr>
                <w:i/>
                <w:sz w:val="20"/>
              </w:rPr>
            </w:pPr>
            <w:r>
              <w:rPr>
                <w:i/>
                <w:sz w:val="20"/>
              </w:rPr>
              <w:t>(#)</w:t>
            </w:r>
          </w:p>
        </w:tc>
        <w:tc>
          <w:tcPr>
            <w:tcW w:w="1323" w:type="dxa"/>
            <w:tcBorders>
              <w:bottom w:val="single" w:sz="4" w:space="0" w:color="auto"/>
            </w:tcBorders>
          </w:tcPr>
          <w:p w:rsidR="00BD573C" w:rsidRPr="00E15BA2" w:rsidRDefault="008772D5" w:rsidP="00E15BA2">
            <w:pPr>
              <w:widowControl/>
              <w:tabs>
                <w:tab w:val="left" w:pos="360"/>
              </w:tabs>
              <w:spacing w:after="0"/>
              <w:jc w:val="center"/>
              <w:rPr>
                <w:i/>
                <w:sz w:val="20"/>
              </w:rPr>
            </w:pPr>
            <w:r>
              <w:rPr>
                <w:i/>
                <w:sz w:val="20"/>
              </w:rPr>
              <w:t>($)</w:t>
            </w:r>
          </w:p>
        </w:tc>
      </w:tr>
      <w:tr w:rsidR="00BD573C" w:rsidRPr="00E15BA2" w:rsidTr="00AB746D">
        <w:trPr>
          <w:jc w:val="center"/>
        </w:trPr>
        <w:tc>
          <w:tcPr>
            <w:tcW w:w="2468" w:type="dxa"/>
            <w:tcBorders>
              <w:top w:val="single" w:sz="4" w:space="0" w:color="auto"/>
            </w:tcBorders>
            <w:shd w:val="clear" w:color="auto" w:fill="C6D9F1" w:themeFill="text2" w:themeFillTint="33"/>
            <w:tcMar>
              <w:top w:w="58" w:type="dxa"/>
              <w:left w:w="115" w:type="dxa"/>
              <w:bottom w:w="58" w:type="dxa"/>
              <w:right w:w="115" w:type="dxa"/>
            </w:tcMar>
            <w:vAlign w:val="center"/>
          </w:tcPr>
          <w:p w:rsidR="00BD573C" w:rsidRPr="00E15BA2" w:rsidRDefault="00BD573C" w:rsidP="001C5CBB">
            <w:pPr>
              <w:widowControl/>
              <w:tabs>
                <w:tab w:val="left" w:pos="360"/>
              </w:tabs>
              <w:spacing w:after="0"/>
              <w:jc w:val="left"/>
              <w:rPr>
                <w:sz w:val="20"/>
              </w:rPr>
            </w:pPr>
            <w:r>
              <w:rPr>
                <w:sz w:val="20"/>
              </w:rPr>
              <w:t>Paul J. Varello</w:t>
            </w:r>
            <w:r w:rsidRPr="00975D81">
              <w:rPr>
                <w:sz w:val="20"/>
                <w:vertAlign w:val="superscript"/>
              </w:rPr>
              <w:t>(4)</w:t>
            </w:r>
          </w:p>
        </w:tc>
        <w:tc>
          <w:tcPr>
            <w:tcW w:w="1284" w:type="dxa"/>
            <w:tcBorders>
              <w:top w:val="single" w:sz="4" w:space="0" w:color="auto"/>
            </w:tcBorders>
            <w:shd w:val="clear" w:color="auto" w:fill="C6D9F1" w:themeFill="text2" w:themeFillTint="33"/>
            <w:tcMar>
              <w:top w:w="58" w:type="dxa"/>
              <w:left w:w="115" w:type="dxa"/>
              <w:bottom w:w="58" w:type="dxa"/>
              <w:right w:w="115" w:type="dxa"/>
            </w:tcMar>
            <w:vAlign w:val="center"/>
          </w:tcPr>
          <w:p w:rsidR="00BD573C" w:rsidRPr="00E15BA2" w:rsidRDefault="00BD573C" w:rsidP="00C959D1">
            <w:pPr>
              <w:widowControl/>
              <w:tabs>
                <w:tab w:val="left" w:pos="360"/>
              </w:tabs>
              <w:spacing w:after="0"/>
              <w:jc w:val="center"/>
              <w:rPr>
                <w:sz w:val="20"/>
              </w:rPr>
            </w:pPr>
            <w:r>
              <w:rPr>
                <w:sz w:val="20"/>
              </w:rPr>
              <w:t>N/A</w:t>
            </w:r>
          </w:p>
        </w:tc>
        <w:tc>
          <w:tcPr>
            <w:tcW w:w="1139" w:type="dxa"/>
            <w:tcBorders>
              <w:top w:val="single" w:sz="4" w:space="0" w:color="auto"/>
            </w:tcBorders>
            <w:shd w:val="clear" w:color="auto" w:fill="C6D9F1" w:themeFill="text2" w:themeFillTint="33"/>
            <w:tcMar>
              <w:top w:w="58" w:type="dxa"/>
              <w:left w:w="115" w:type="dxa"/>
              <w:bottom w:w="58" w:type="dxa"/>
              <w:right w:w="115" w:type="dxa"/>
            </w:tcMar>
            <w:vAlign w:val="center"/>
          </w:tcPr>
          <w:p w:rsidR="00BD573C" w:rsidRPr="00E15BA2" w:rsidRDefault="00BD573C" w:rsidP="00C959D1">
            <w:pPr>
              <w:widowControl/>
              <w:tabs>
                <w:tab w:val="left" w:pos="360"/>
              </w:tabs>
              <w:spacing w:after="0"/>
              <w:jc w:val="center"/>
              <w:rPr>
                <w:sz w:val="20"/>
              </w:rPr>
            </w:pPr>
            <w:r>
              <w:rPr>
                <w:sz w:val="20"/>
              </w:rPr>
              <w:t>N/A</w:t>
            </w:r>
          </w:p>
        </w:tc>
        <w:tc>
          <w:tcPr>
            <w:tcW w:w="1281" w:type="dxa"/>
            <w:tcBorders>
              <w:top w:val="single" w:sz="4" w:space="0" w:color="auto"/>
            </w:tcBorders>
            <w:shd w:val="clear" w:color="auto" w:fill="C6D9F1" w:themeFill="text2" w:themeFillTint="33"/>
            <w:tcMar>
              <w:top w:w="58" w:type="dxa"/>
              <w:left w:w="115" w:type="dxa"/>
              <w:bottom w:w="58" w:type="dxa"/>
              <w:right w:w="115" w:type="dxa"/>
            </w:tcMar>
            <w:vAlign w:val="center"/>
          </w:tcPr>
          <w:p w:rsidR="00BD573C" w:rsidRPr="00E15BA2" w:rsidRDefault="00BD573C" w:rsidP="00C959D1">
            <w:pPr>
              <w:widowControl/>
              <w:tabs>
                <w:tab w:val="left" w:pos="360"/>
              </w:tabs>
              <w:spacing w:after="0"/>
              <w:jc w:val="center"/>
              <w:rPr>
                <w:sz w:val="20"/>
              </w:rPr>
            </w:pPr>
            <w:r>
              <w:rPr>
                <w:sz w:val="20"/>
              </w:rPr>
              <w:t>N/A</w:t>
            </w:r>
          </w:p>
        </w:tc>
        <w:tc>
          <w:tcPr>
            <w:tcW w:w="1323" w:type="dxa"/>
            <w:tcBorders>
              <w:top w:val="single" w:sz="4" w:space="0" w:color="auto"/>
            </w:tcBorders>
            <w:shd w:val="clear" w:color="auto" w:fill="C6D9F1" w:themeFill="text2" w:themeFillTint="33"/>
          </w:tcPr>
          <w:p w:rsidR="00BD573C" w:rsidRDefault="00BD573C" w:rsidP="006A04C9">
            <w:pPr>
              <w:widowControl/>
              <w:tabs>
                <w:tab w:val="left" w:pos="360"/>
              </w:tabs>
              <w:spacing w:after="0"/>
              <w:jc w:val="center"/>
              <w:rPr>
                <w:sz w:val="20"/>
              </w:rPr>
            </w:pPr>
            <w:r>
              <w:rPr>
                <w:sz w:val="20"/>
              </w:rPr>
              <w:t>600,000</w:t>
            </w:r>
            <w:r w:rsidR="0079714A" w:rsidRPr="0079714A">
              <w:rPr>
                <w:sz w:val="20"/>
                <w:vertAlign w:val="superscript"/>
              </w:rPr>
              <w:t>)</w:t>
            </w:r>
          </w:p>
        </w:tc>
        <w:tc>
          <w:tcPr>
            <w:tcW w:w="1323" w:type="dxa"/>
            <w:tcBorders>
              <w:top w:val="single" w:sz="4" w:space="0" w:color="auto"/>
            </w:tcBorders>
            <w:shd w:val="clear" w:color="auto" w:fill="C6D9F1" w:themeFill="text2" w:themeFillTint="33"/>
          </w:tcPr>
          <w:p w:rsidR="00BD573C" w:rsidRDefault="00B00C28" w:rsidP="00C959D1">
            <w:pPr>
              <w:widowControl/>
              <w:tabs>
                <w:tab w:val="left" w:pos="360"/>
              </w:tabs>
              <w:spacing w:after="0"/>
              <w:jc w:val="center"/>
              <w:rPr>
                <w:sz w:val="20"/>
              </w:rPr>
            </w:pPr>
            <w:r>
              <w:rPr>
                <w:sz w:val="20"/>
              </w:rPr>
              <w:t>1,932,000</w:t>
            </w:r>
          </w:p>
        </w:tc>
      </w:tr>
      <w:tr w:rsidR="00EF4C1B" w:rsidRPr="00E15BA2" w:rsidTr="00BD573C">
        <w:trPr>
          <w:jc w:val="center"/>
        </w:trPr>
        <w:tc>
          <w:tcPr>
            <w:tcW w:w="2468" w:type="dxa"/>
            <w:shd w:val="clear" w:color="auto" w:fill="FFFFFF" w:themeFill="background1"/>
            <w:tcMar>
              <w:top w:w="58" w:type="dxa"/>
              <w:left w:w="115" w:type="dxa"/>
              <w:bottom w:w="58" w:type="dxa"/>
              <w:right w:w="115" w:type="dxa"/>
            </w:tcMar>
            <w:vAlign w:val="center"/>
          </w:tcPr>
          <w:p w:rsidR="00EF4C1B" w:rsidRPr="00E15BA2" w:rsidRDefault="00EF4C1B" w:rsidP="0079714A">
            <w:pPr>
              <w:widowControl/>
              <w:tabs>
                <w:tab w:val="left" w:pos="360"/>
              </w:tabs>
              <w:spacing w:after="0"/>
              <w:jc w:val="left"/>
              <w:rPr>
                <w:sz w:val="20"/>
              </w:rPr>
            </w:pPr>
            <w:r>
              <w:rPr>
                <w:sz w:val="20"/>
              </w:rPr>
              <w:t>Ronald A. Ballschmiede</w:t>
            </w:r>
            <w:r w:rsidRPr="00975D81">
              <w:rPr>
                <w:sz w:val="20"/>
                <w:vertAlign w:val="superscript"/>
              </w:rPr>
              <w:t>(</w:t>
            </w:r>
            <w:r>
              <w:rPr>
                <w:sz w:val="20"/>
                <w:vertAlign w:val="superscript"/>
              </w:rPr>
              <w:t>5</w:t>
            </w:r>
            <w:r w:rsidRPr="00975D81">
              <w:rPr>
                <w:sz w:val="20"/>
                <w:vertAlign w:val="superscript"/>
              </w:rPr>
              <w:t>)</w:t>
            </w:r>
          </w:p>
        </w:tc>
        <w:tc>
          <w:tcPr>
            <w:tcW w:w="1284" w:type="dxa"/>
            <w:shd w:val="clear" w:color="auto" w:fill="FFFFFF" w:themeFill="background1"/>
            <w:tcMar>
              <w:top w:w="58" w:type="dxa"/>
              <w:left w:w="115" w:type="dxa"/>
              <w:bottom w:w="58" w:type="dxa"/>
              <w:right w:w="115" w:type="dxa"/>
            </w:tcMar>
            <w:vAlign w:val="center"/>
          </w:tcPr>
          <w:p w:rsidR="00EF4C1B" w:rsidRPr="00E15BA2" w:rsidRDefault="00EF4C1B" w:rsidP="006C047B">
            <w:pPr>
              <w:widowControl/>
              <w:tabs>
                <w:tab w:val="left" w:pos="360"/>
              </w:tabs>
              <w:spacing w:after="0"/>
              <w:jc w:val="center"/>
              <w:rPr>
                <w:sz w:val="20"/>
              </w:rPr>
            </w:pPr>
            <w:r>
              <w:rPr>
                <w:sz w:val="20"/>
              </w:rPr>
              <w:t>N/A</w:t>
            </w:r>
          </w:p>
        </w:tc>
        <w:tc>
          <w:tcPr>
            <w:tcW w:w="1139" w:type="dxa"/>
            <w:shd w:val="clear" w:color="auto" w:fill="FFFFFF" w:themeFill="background1"/>
            <w:tcMar>
              <w:top w:w="58" w:type="dxa"/>
              <w:left w:w="115" w:type="dxa"/>
              <w:bottom w:w="58" w:type="dxa"/>
              <w:right w:w="115" w:type="dxa"/>
            </w:tcMar>
            <w:vAlign w:val="center"/>
          </w:tcPr>
          <w:p w:rsidR="00EF4C1B" w:rsidRPr="00E15BA2" w:rsidRDefault="00EF4C1B" w:rsidP="006C047B">
            <w:pPr>
              <w:widowControl/>
              <w:tabs>
                <w:tab w:val="left" w:pos="360"/>
              </w:tabs>
              <w:spacing w:after="0"/>
              <w:jc w:val="center"/>
              <w:rPr>
                <w:sz w:val="20"/>
              </w:rPr>
            </w:pPr>
            <w:r>
              <w:rPr>
                <w:sz w:val="20"/>
              </w:rPr>
              <w:t>N/A</w:t>
            </w:r>
          </w:p>
        </w:tc>
        <w:tc>
          <w:tcPr>
            <w:tcW w:w="1281" w:type="dxa"/>
            <w:shd w:val="clear" w:color="auto" w:fill="FFFFFF" w:themeFill="background1"/>
            <w:tcMar>
              <w:top w:w="58" w:type="dxa"/>
              <w:left w:w="115" w:type="dxa"/>
              <w:bottom w:w="58" w:type="dxa"/>
              <w:right w:w="115" w:type="dxa"/>
            </w:tcMar>
            <w:vAlign w:val="center"/>
          </w:tcPr>
          <w:p w:rsidR="00EF4C1B" w:rsidRPr="00E15BA2" w:rsidRDefault="00EF4C1B" w:rsidP="006C047B">
            <w:pPr>
              <w:widowControl/>
              <w:tabs>
                <w:tab w:val="left" w:pos="360"/>
              </w:tabs>
              <w:spacing w:after="0"/>
              <w:jc w:val="center"/>
              <w:rPr>
                <w:sz w:val="20"/>
              </w:rPr>
            </w:pPr>
            <w:r>
              <w:rPr>
                <w:sz w:val="20"/>
              </w:rPr>
              <w:t>N/A</w:t>
            </w:r>
          </w:p>
        </w:tc>
        <w:tc>
          <w:tcPr>
            <w:tcW w:w="1323" w:type="dxa"/>
            <w:shd w:val="clear" w:color="auto" w:fill="FFFFFF" w:themeFill="background1"/>
          </w:tcPr>
          <w:p w:rsidR="00EF4C1B" w:rsidRPr="00E15BA2" w:rsidRDefault="00EF4C1B" w:rsidP="00C959D1">
            <w:pPr>
              <w:widowControl/>
              <w:tabs>
                <w:tab w:val="left" w:pos="360"/>
              </w:tabs>
              <w:spacing w:after="0"/>
              <w:jc w:val="center"/>
              <w:rPr>
                <w:sz w:val="20"/>
              </w:rPr>
            </w:pPr>
            <w:r>
              <w:rPr>
                <w:sz w:val="20"/>
              </w:rPr>
              <w:t>100,000</w:t>
            </w:r>
          </w:p>
        </w:tc>
        <w:tc>
          <w:tcPr>
            <w:tcW w:w="1323" w:type="dxa"/>
            <w:shd w:val="clear" w:color="auto" w:fill="FFFFFF" w:themeFill="background1"/>
          </w:tcPr>
          <w:p w:rsidR="00EF4C1B" w:rsidRPr="00E15BA2" w:rsidRDefault="00EF4C1B" w:rsidP="00C959D1">
            <w:pPr>
              <w:widowControl/>
              <w:tabs>
                <w:tab w:val="left" w:pos="360"/>
              </w:tabs>
              <w:spacing w:after="0"/>
              <w:jc w:val="center"/>
              <w:rPr>
                <w:sz w:val="20"/>
              </w:rPr>
            </w:pPr>
            <w:r>
              <w:rPr>
                <w:sz w:val="20"/>
              </w:rPr>
              <w:t>467,000</w:t>
            </w:r>
          </w:p>
        </w:tc>
      </w:tr>
      <w:tr w:rsidR="00EF4C1B" w:rsidRPr="00E15BA2" w:rsidTr="00AB746D">
        <w:trPr>
          <w:jc w:val="center"/>
        </w:trPr>
        <w:tc>
          <w:tcPr>
            <w:tcW w:w="2468" w:type="dxa"/>
            <w:shd w:val="clear" w:color="auto" w:fill="C6D9F1" w:themeFill="text2" w:themeFillTint="33"/>
            <w:tcMar>
              <w:top w:w="58" w:type="dxa"/>
              <w:left w:w="115" w:type="dxa"/>
              <w:bottom w:w="58" w:type="dxa"/>
              <w:right w:w="115" w:type="dxa"/>
            </w:tcMar>
            <w:vAlign w:val="center"/>
          </w:tcPr>
          <w:p w:rsidR="00EF4C1B" w:rsidRPr="00E15BA2" w:rsidRDefault="00EF4C1B" w:rsidP="0079714A">
            <w:pPr>
              <w:widowControl/>
              <w:tabs>
                <w:tab w:val="left" w:pos="360"/>
              </w:tabs>
              <w:spacing w:after="0"/>
              <w:jc w:val="left"/>
              <w:rPr>
                <w:sz w:val="20"/>
              </w:rPr>
            </w:pPr>
            <w:r>
              <w:rPr>
                <w:sz w:val="20"/>
              </w:rPr>
              <w:t>Roger M. Barzun</w:t>
            </w:r>
            <w:r w:rsidRPr="00975D81">
              <w:rPr>
                <w:sz w:val="20"/>
                <w:vertAlign w:val="superscript"/>
              </w:rPr>
              <w:t>(</w:t>
            </w:r>
            <w:r>
              <w:rPr>
                <w:sz w:val="20"/>
                <w:vertAlign w:val="superscript"/>
              </w:rPr>
              <w:t>6</w:t>
            </w:r>
            <w:r w:rsidRPr="00975D81">
              <w:rPr>
                <w:sz w:val="20"/>
                <w:vertAlign w:val="superscript"/>
              </w:rPr>
              <w:t>)</w:t>
            </w:r>
          </w:p>
        </w:tc>
        <w:tc>
          <w:tcPr>
            <w:tcW w:w="1284" w:type="dxa"/>
            <w:shd w:val="clear" w:color="auto" w:fill="C6D9F1" w:themeFill="text2" w:themeFillTint="33"/>
            <w:tcMar>
              <w:top w:w="58" w:type="dxa"/>
              <w:left w:w="115" w:type="dxa"/>
              <w:bottom w:w="58" w:type="dxa"/>
              <w:right w:w="115" w:type="dxa"/>
            </w:tcMar>
            <w:vAlign w:val="center"/>
          </w:tcPr>
          <w:p w:rsidR="00EF4C1B" w:rsidRPr="00E15BA2" w:rsidRDefault="00EF4C1B" w:rsidP="00C959D1">
            <w:pPr>
              <w:widowControl/>
              <w:tabs>
                <w:tab w:val="left" w:pos="360"/>
              </w:tabs>
              <w:spacing w:after="0"/>
              <w:jc w:val="center"/>
              <w:rPr>
                <w:sz w:val="20"/>
              </w:rPr>
            </w:pPr>
            <w:r>
              <w:rPr>
                <w:sz w:val="20"/>
              </w:rPr>
              <w:t>—</w:t>
            </w:r>
          </w:p>
        </w:tc>
        <w:tc>
          <w:tcPr>
            <w:tcW w:w="1139" w:type="dxa"/>
            <w:shd w:val="clear" w:color="auto" w:fill="C6D9F1" w:themeFill="text2" w:themeFillTint="33"/>
            <w:tcMar>
              <w:top w:w="58" w:type="dxa"/>
              <w:left w:w="115" w:type="dxa"/>
              <w:bottom w:w="58" w:type="dxa"/>
              <w:right w:w="115" w:type="dxa"/>
            </w:tcMar>
          </w:tcPr>
          <w:p w:rsidR="00EF4C1B" w:rsidRDefault="00EF4C1B" w:rsidP="00716975">
            <w:pPr>
              <w:spacing w:after="0"/>
              <w:jc w:val="center"/>
            </w:pPr>
            <w:r w:rsidRPr="00CC56B5">
              <w:rPr>
                <w:sz w:val="20"/>
              </w:rPr>
              <w:t>—</w:t>
            </w:r>
          </w:p>
        </w:tc>
        <w:tc>
          <w:tcPr>
            <w:tcW w:w="1281" w:type="dxa"/>
            <w:shd w:val="clear" w:color="auto" w:fill="C6D9F1" w:themeFill="text2" w:themeFillTint="33"/>
            <w:tcMar>
              <w:top w:w="58" w:type="dxa"/>
              <w:left w:w="115" w:type="dxa"/>
              <w:bottom w:w="58" w:type="dxa"/>
              <w:right w:w="115" w:type="dxa"/>
            </w:tcMar>
          </w:tcPr>
          <w:p w:rsidR="00EF4C1B" w:rsidRDefault="00EF4C1B" w:rsidP="00716975">
            <w:pPr>
              <w:spacing w:after="0"/>
              <w:jc w:val="center"/>
            </w:pPr>
            <w:r w:rsidRPr="00CC56B5">
              <w:rPr>
                <w:sz w:val="20"/>
              </w:rPr>
              <w:t>—</w:t>
            </w:r>
          </w:p>
        </w:tc>
        <w:tc>
          <w:tcPr>
            <w:tcW w:w="1323" w:type="dxa"/>
            <w:shd w:val="clear" w:color="auto" w:fill="C6D9F1" w:themeFill="text2" w:themeFillTint="33"/>
          </w:tcPr>
          <w:p w:rsidR="00EF4C1B" w:rsidRPr="00E15BA2" w:rsidRDefault="00EF4C1B" w:rsidP="00C959D1">
            <w:pPr>
              <w:widowControl/>
              <w:tabs>
                <w:tab w:val="left" w:pos="360"/>
              </w:tabs>
              <w:spacing w:after="0"/>
              <w:jc w:val="center"/>
              <w:rPr>
                <w:sz w:val="20"/>
              </w:rPr>
            </w:pPr>
            <w:r>
              <w:rPr>
                <w:sz w:val="20"/>
              </w:rPr>
              <w:t>—</w:t>
            </w:r>
          </w:p>
        </w:tc>
        <w:tc>
          <w:tcPr>
            <w:tcW w:w="1323" w:type="dxa"/>
            <w:shd w:val="clear" w:color="auto" w:fill="C6D9F1" w:themeFill="text2" w:themeFillTint="33"/>
          </w:tcPr>
          <w:p w:rsidR="00EF4C1B" w:rsidRPr="00E15BA2" w:rsidRDefault="00EF4C1B" w:rsidP="00C959D1">
            <w:pPr>
              <w:widowControl/>
              <w:tabs>
                <w:tab w:val="left" w:pos="360"/>
              </w:tabs>
              <w:spacing w:after="0"/>
              <w:jc w:val="center"/>
              <w:rPr>
                <w:sz w:val="20"/>
              </w:rPr>
            </w:pPr>
            <w:r>
              <w:rPr>
                <w:sz w:val="20"/>
              </w:rPr>
              <w:t>—</w:t>
            </w:r>
          </w:p>
        </w:tc>
      </w:tr>
      <w:tr w:rsidR="00EF4C1B" w:rsidRPr="00E15BA2" w:rsidTr="00AB746D">
        <w:trPr>
          <w:jc w:val="center"/>
        </w:trPr>
        <w:tc>
          <w:tcPr>
            <w:tcW w:w="2468" w:type="dxa"/>
            <w:shd w:val="clear" w:color="auto" w:fill="FFFFFF" w:themeFill="background1"/>
            <w:tcMar>
              <w:top w:w="58" w:type="dxa"/>
              <w:left w:w="115" w:type="dxa"/>
              <w:bottom w:w="58" w:type="dxa"/>
              <w:right w:w="115" w:type="dxa"/>
            </w:tcMar>
            <w:vAlign w:val="center"/>
          </w:tcPr>
          <w:p w:rsidR="00EF4C1B" w:rsidRPr="00E15BA2" w:rsidRDefault="00EF4C1B" w:rsidP="006D39FC">
            <w:pPr>
              <w:widowControl/>
              <w:tabs>
                <w:tab w:val="left" w:pos="360"/>
              </w:tabs>
              <w:spacing w:after="0"/>
              <w:jc w:val="left"/>
              <w:rPr>
                <w:sz w:val="20"/>
              </w:rPr>
            </w:pPr>
            <w:r>
              <w:rPr>
                <w:sz w:val="20"/>
              </w:rPr>
              <w:t>Kevan M. Blair</w:t>
            </w:r>
            <w:r w:rsidRPr="00975D81">
              <w:rPr>
                <w:sz w:val="20"/>
                <w:vertAlign w:val="superscript"/>
              </w:rPr>
              <w:t>(</w:t>
            </w:r>
            <w:r>
              <w:rPr>
                <w:sz w:val="20"/>
                <w:vertAlign w:val="superscript"/>
              </w:rPr>
              <w:t>7</w:t>
            </w:r>
            <w:r w:rsidRPr="00975D81">
              <w:rPr>
                <w:sz w:val="20"/>
                <w:vertAlign w:val="superscript"/>
              </w:rPr>
              <w:t>)</w:t>
            </w:r>
          </w:p>
        </w:tc>
        <w:tc>
          <w:tcPr>
            <w:tcW w:w="1284" w:type="dxa"/>
            <w:shd w:val="clear" w:color="auto" w:fill="FFFFFF" w:themeFill="background1"/>
            <w:tcMar>
              <w:top w:w="58" w:type="dxa"/>
              <w:left w:w="115" w:type="dxa"/>
              <w:bottom w:w="58" w:type="dxa"/>
              <w:right w:w="115" w:type="dxa"/>
            </w:tcMar>
          </w:tcPr>
          <w:p w:rsidR="00EF4C1B" w:rsidRDefault="00EF4C1B" w:rsidP="00716975">
            <w:pPr>
              <w:spacing w:after="0"/>
              <w:jc w:val="center"/>
            </w:pPr>
            <w:r w:rsidRPr="00CA27FF">
              <w:rPr>
                <w:sz w:val="20"/>
              </w:rPr>
              <w:t>—</w:t>
            </w:r>
          </w:p>
        </w:tc>
        <w:tc>
          <w:tcPr>
            <w:tcW w:w="1139" w:type="dxa"/>
            <w:shd w:val="clear" w:color="auto" w:fill="FFFFFF" w:themeFill="background1"/>
            <w:tcMar>
              <w:top w:w="58" w:type="dxa"/>
              <w:left w:w="115" w:type="dxa"/>
              <w:bottom w:w="58" w:type="dxa"/>
              <w:right w:w="115" w:type="dxa"/>
            </w:tcMar>
          </w:tcPr>
          <w:p w:rsidR="00EF4C1B" w:rsidRDefault="00EF4C1B" w:rsidP="00716975">
            <w:pPr>
              <w:spacing w:after="0"/>
              <w:jc w:val="center"/>
            </w:pPr>
            <w:r w:rsidRPr="00CA27FF">
              <w:rPr>
                <w:sz w:val="20"/>
              </w:rPr>
              <w:t>—</w:t>
            </w:r>
          </w:p>
        </w:tc>
        <w:tc>
          <w:tcPr>
            <w:tcW w:w="1281" w:type="dxa"/>
            <w:shd w:val="clear" w:color="auto" w:fill="FFFFFF" w:themeFill="background1"/>
            <w:tcMar>
              <w:top w:w="58" w:type="dxa"/>
              <w:left w:w="115" w:type="dxa"/>
              <w:bottom w:w="58" w:type="dxa"/>
              <w:right w:w="115" w:type="dxa"/>
            </w:tcMar>
          </w:tcPr>
          <w:p w:rsidR="00EF4C1B" w:rsidRDefault="00EF4C1B" w:rsidP="00716975">
            <w:pPr>
              <w:spacing w:after="0"/>
              <w:jc w:val="center"/>
            </w:pPr>
            <w:r w:rsidRPr="00CA27FF">
              <w:rPr>
                <w:sz w:val="20"/>
              </w:rPr>
              <w:t>—</w:t>
            </w:r>
          </w:p>
        </w:tc>
        <w:tc>
          <w:tcPr>
            <w:tcW w:w="1323" w:type="dxa"/>
            <w:shd w:val="clear" w:color="auto" w:fill="FFFFFF" w:themeFill="background1"/>
          </w:tcPr>
          <w:p w:rsidR="00EF4C1B" w:rsidRPr="00E15BA2" w:rsidRDefault="00EF4C1B" w:rsidP="001D5248">
            <w:pPr>
              <w:widowControl/>
              <w:tabs>
                <w:tab w:val="left" w:pos="360"/>
              </w:tabs>
              <w:spacing w:after="0"/>
              <w:jc w:val="center"/>
              <w:rPr>
                <w:sz w:val="20"/>
              </w:rPr>
            </w:pPr>
            <w:r>
              <w:rPr>
                <w:sz w:val="20"/>
              </w:rPr>
              <w:t>3,971</w:t>
            </w:r>
          </w:p>
        </w:tc>
        <w:tc>
          <w:tcPr>
            <w:tcW w:w="1323" w:type="dxa"/>
            <w:shd w:val="clear" w:color="auto" w:fill="FFFFFF" w:themeFill="background1"/>
          </w:tcPr>
          <w:p w:rsidR="00EF4C1B" w:rsidRPr="00E15BA2" w:rsidRDefault="00EF4C1B" w:rsidP="00C959D1">
            <w:pPr>
              <w:widowControl/>
              <w:tabs>
                <w:tab w:val="left" w:pos="360"/>
              </w:tabs>
              <w:spacing w:after="0"/>
              <w:jc w:val="center"/>
              <w:rPr>
                <w:sz w:val="20"/>
              </w:rPr>
            </w:pPr>
            <w:r>
              <w:rPr>
                <w:sz w:val="20"/>
              </w:rPr>
              <w:t>25,000</w:t>
            </w:r>
          </w:p>
        </w:tc>
      </w:tr>
      <w:tr w:rsidR="00384C9C" w:rsidRPr="00E15BA2" w:rsidTr="00AB746D">
        <w:trPr>
          <w:jc w:val="center"/>
        </w:trPr>
        <w:tc>
          <w:tcPr>
            <w:tcW w:w="2468" w:type="dxa"/>
            <w:shd w:val="clear" w:color="auto" w:fill="C6D9F1" w:themeFill="text2" w:themeFillTint="33"/>
            <w:tcMar>
              <w:top w:w="58" w:type="dxa"/>
              <w:left w:w="115" w:type="dxa"/>
              <w:bottom w:w="58" w:type="dxa"/>
              <w:right w:w="115" w:type="dxa"/>
            </w:tcMar>
            <w:vAlign w:val="center"/>
          </w:tcPr>
          <w:p w:rsidR="00384C9C" w:rsidRPr="00E15BA2" w:rsidRDefault="00384C9C" w:rsidP="0079714A">
            <w:pPr>
              <w:widowControl/>
              <w:tabs>
                <w:tab w:val="left" w:pos="360"/>
              </w:tabs>
              <w:spacing w:after="0"/>
              <w:jc w:val="left"/>
              <w:rPr>
                <w:sz w:val="20"/>
              </w:rPr>
            </w:pPr>
            <w:r w:rsidRPr="00E15BA2">
              <w:rPr>
                <w:sz w:val="20"/>
              </w:rPr>
              <w:t>Peter E. MacKenna</w:t>
            </w:r>
            <w:r w:rsidRPr="00975D81">
              <w:rPr>
                <w:sz w:val="20"/>
                <w:vertAlign w:val="superscript"/>
              </w:rPr>
              <w:t>(</w:t>
            </w:r>
            <w:r>
              <w:rPr>
                <w:sz w:val="20"/>
                <w:vertAlign w:val="superscript"/>
              </w:rPr>
              <w:t xml:space="preserve"> 8</w:t>
            </w:r>
            <w:r w:rsidRPr="00975D81">
              <w:rPr>
                <w:sz w:val="20"/>
                <w:vertAlign w:val="superscript"/>
              </w:rPr>
              <w:t>)</w:t>
            </w:r>
          </w:p>
        </w:tc>
        <w:tc>
          <w:tcPr>
            <w:tcW w:w="1284" w:type="dxa"/>
            <w:shd w:val="clear" w:color="auto" w:fill="C6D9F1" w:themeFill="text2" w:themeFillTint="33"/>
            <w:tcMar>
              <w:top w:w="58" w:type="dxa"/>
              <w:left w:w="115" w:type="dxa"/>
              <w:bottom w:w="58" w:type="dxa"/>
              <w:right w:w="115" w:type="dxa"/>
            </w:tcMar>
            <w:vAlign w:val="center"/>
          </w:tcPr>
          <w:p w:rsidR="00384C9C" w:rsidRPr="00E15BA2" w:rsidRDefault="00384C9C" w:rsidP="006C047B">
            <w:pPr>
              <w:widowControl/>
              <w:tabs>
                <w:tab w:val="left" w:pos="360"/>
              </w:tabs>
              <w:spacing w:after="0"/>
              <w:jc w:val="center"/>
              <w:rPr>
                <w:sz w:val="20"/>
              </w:rPr>
            </w:pPr>
            <w:r>
              <w:rPr>
                <w:sz w:val="20"/>
              </w:rPr>
              <w:t>720,000</w:t>
            </w:r>
          </w:p>
        </w:tc>
        <w:tc>
          <w:tcPr>
            <w:tcW w:w="1139" w:type="dxa"/>
            <w:shd w:val="clear" w:color="auto" w:fill="C6D9F1" w:themeFill="text2" w:themeFillTint="33"/>
            <w:tcMar>
              <w:top w:w="58" w:type="dxa"/>
              <w:left w:w="115" w:type="dxa"/>
              <w:bottom w:w="58" w:type="dxa"/>
              <w:right w:w="115" w:type="dxa"/>
            </w:tcMar>
            <w:vAlign w:val="center"/>
          </w:tcPr>
          <w:p w:rsidR="00384C9C" w:rsidRPr="00E15BA2" w:rsidRDefault="00384C9C" w:rsidP="006C047B">
            <w:pPr>
              <w:widowControl/>
              <w:tabs>
                <w:tab w:val="left" w:pos="360"/>
              </w:tabs>
              <w:spacing w:after="0"/>
              <w:jc w:val="center"/>
              <w:rPr>
                <w:sz w:val="20"/>
              </w:rPr>
            </w:pPr>
            <w:r>
              <w:rPr>
                <w:sz w:val="20"/>
              </w:rPr>
              <w:t>720,000</w:t>
            </w:r>
          </w:p>
        </w:tc>
        <w:tc>
          <w:tcPr>
            <w:tcW w:w="1281" w:type="dxa"/>
            <w:shd w:val="clear" w:color="auto" w:fill="C6D9F1" w:themeFill="text2" w:themeFillTint="33"/>
            <w:tcMar>
              <w:top w:w="58" w:type="dxa"/>
              <w:left w:w="115" w:type="dxa"/>
              <w:bottom w:w="58" w:type="dxa"/>
              <w:right w:w="115" w:type="dxa"/>
            </w:tcMar>
            <w:vAlign w:val="center"/>
          </w:tcPr>
          <w:p w:rsidR="00384C9C" w:rsidRPr="00E15BA2" w:rsidRDefault="00384C9C" w:rsidP="006C047B">
            <w:pPr>
              <w:widowControl/>
              <w:tabs>
                <w:tab w:val="left" w:pos="360"/>
              </w:tabs>
              <w:spacing w:after="0"/>
              <w:jc w:val="center"/>
              <w:rPr>
                <w:sz w:val="20"/>
              </w:rPr>
            </w:pPr>
            <w:r>
              <w:rPr>
                <w:sz w:val="20"/>
              </w:rPr>
              <w:t>720,000</w:t>
            </w:r>
          </w:p>
        </w:tc>
        <w:tc>
          <w:tcPr>
            <w:tcW w:w="1323" w:type="dxa"/>
            <w:shd w:val="clear" w:color="auto" w:fill="C6D9F1" w:themeFill="text2" w:themeFillTint="33"/>
          </w:tcPr>
          <w:p w:rsidR="00384C9C" w:rsidRPr="00E15BA2" w:rsidRDefault="00384C9C" w:rsidP="00C959D1">
            <w:pPr>
              <w:widowControl/>
              <w:tabs>
                <w:tab w:val="left" w:pos="360"/>
              </w:tabs>
              <w:spacing w:after="0"/>
              <w:jc w:val="center"/>
              <w:rPr>
                <w:sz w:val="20"/>
              </w:rPr>
            </w:pPr>
            <w:r>
              <w:rPr>
                <w:sz w:val="20"/>
              </w:rPr>
              <w:t>—</w:t>
            </w:r>
          </w:p>
        </w:tc>
        <w:tc>
          <w:tcPr>
            <w:tcW w:w="1323" w:type="dxa"/>
            <w:shd w:val="clear" w:color="auto" w:fill="C6D9F1" w:themeFill="text2" w:themeFillTint="33"/>
          </w:tcPr>
          <w:p w:rsidR="00384C9C" w:rsidRPr="00E15BA2" w:rsidRDefault="00384C9C" w:rsidP="00C959D1">
            <w:pPr>
              <w:widowControl/>
              <w:tabs>
                <w:tab w:val="left" w:pos="360"/>
              </w:tabs>
              <w:spacing w:after="0"/>
              <w:jc w:val="center"/>
              <w:rPr>
                <w:sz w:val="20"/>
              </w:rPr>
            </w:pPr>
            <w:r>
              <w:rPr>
                <w:sz w:val="20"/>
              </w:rPr>
              <w:t>—</w:t>
            </w:r>
          </w:p>
        </w:tc>
      </w:tr>
      <w:tr w:rsidR="00384C9C" w:rsidRPr="00E15BA2" w:rsidTr="00AB746D">
        <w:trPr>
          <w:jc w:val="center"/>
        </w:trPr>
        <w:tc>
          <w:tcPr>
            <w:tcW w:w="2468" w:type="dxa"/>
            <w:tcMar>
              <w:top w:w="58" w:type="dxa"/>
              <w:left w:w="115" w:type="dxa"/>
              <w:bottom w:w="0" w:type="dxa"/>
              <w:right w:w="115" w:type="dxa"/>
            </w:tcMar>
            <w:vAlign w:val="center"/>
          </w:tcPr>
          <w:p w:rsidR="00384C9C" w:rsidRPr="00E15BA2" w:rsidRDefault="00384C9C" w:rsidP="008239FD">
            <w:pPr>
              <w:widowControl/>
              <w:tabs>
                <w:tab w:val="left" w:pos="360"/>
              </w:tabs>
              <w:spacing w:after="0"/>
              <w:jc w:val="left"/>
              <w:rPr>
                <w:sz w:val="20"/>
              </w:rPr>
            </w:pPr>
            <w:r w:rsidRPr="00E15BA2">
              <w:rPr>
                <w:sz w:val="20"/>
              </w:rPr>
              <w:t>Thomas R. Wright</w:t>
            </w:r>
          </w:p>
        </w:tc>
        <w:tc>
          <w:tcPr>
            <w:tcW w:w="1284" w:type="dxa"/>
            <w:shd w:val="clear" w:color="auto" w:fill="auto"/>
            <w:tcMar>
              <w:top w:w="58" w:type="dxa"/>
              <w:left w:w="115" w:type="dxa"/>
              <w:bottom w:w="0" w:type="dxa"/>
              <w:right w:w="115" w:type="dxa"/>
            </w:tcMar>
            <w:vAlign w:val="center"/>
          </w:tcPr>
          <w:p w:rsidR="00384C9C" w:rsidRPr="00E15BA2" w:rsidRDefault="00384C9C" w:rsidP="00C959D1">
            <w:pPr>
              <w:widowControl/>
              <w:tabs>
                <w:tab w:val="left" w:pos="360"/>
              </w:tabs>
              <w:spacing w:after="0"/>
              <w:jc w:val="center"/>
              <w:rPr>
                <w:sz w:val="20"/>
              </w:rPr>
            </w:pPr>
            <w:r w:rsidRPr="00E15BA2">
              <w:rPr>
                <w:sz w:val="20"/>
              </w:rPr>
              <w:t>220,500</w:t>
            </w:r>
          </w:p>
        </w:tc>
        <w:tc>
          <w:tcPr>
            <w:tcW w:w="1139" w:type="dxa"/>
            <w:shd w:val="clear" w:color="auto" w:fill="auto"/>
            <w:tcMar>
              <w:top w:w="58" w:type="dxa"/>
              <w:left w:w="115" w:type="dxa"/>
              <w:bottom w:w="0" w:type="dxa"/>
              <w:right w:w="115" w:type="dxa"/>
            </w:tcMar>
            <w:vAlign w:val="center"/>
          </w:tcPr>
          <w:p w:rsidR="00384C9C" w:rsidRPr="00E15BA2" w:rsidRDefault="00384C9C" w:rsidP="00C959D1">
            <w:pPr>
              <w:spacing w:after="0"/>
              <w:jc w:val="center"/>
              <w:rPr>
                <w:sz w:val="20"/>
              </w:rPr>
            </w:pPr>
            <w:r w:rsidRPr="00E15BA2">
              <w:rPr>
                <w:sz w:val="20"/>
              </w:rPr>
              <w:t>420,000</w:t>
            </w:r>
          </w:p>
        </w:tc>
        <w:tc>
          <w:tcPr>
            <w:tcW w:w="1281" w:type="dxa"/>
            <w:shd w:val="clear" w:color="auto" w:fill="auto"/>
            <w:tcMar>
              <w:top w:w="58" w:type="dxa"/>
              <w:left w:w="115" w:type="dxa"/>
              <w:bottom w:w="0" w:type="dxa"/>
              <w:right w:w="115" w:type="dxa"/>
            </w:tcMar>
            <w:vAlign w:val="center"/>
          </w:tcPr>
          <w:p w:rsidR="00384C9C" w:rsidRPr="00E15BA2" w:rsidRDefault="00384C9C" w:rsidP="00C959D1">
            <w:pPr>
              <w:spacing w:after="0"/>
              <w:jc w:val="center"/>
              <w:rPr>
                <w:sz w:val="20"/>
              </w:rPr>
            </w:pPr>
            <w:r w:rsidRPr="00E15BA2">
              <w:rPr>
                <w:sz w:val="20"/>
              </w:rPr>
              <w:t>462,000</w:t>
            </w:r>
          </w:p>
        </w:tc>
        <w:tc>
          <w:tcPr>
            <w:tcW w:w="1323" w:type="dxa"/>
          </w:tcPr>
          <w:p w:rsidR="00384C9C" w:rsidRPr="00E15BA2" w:rsidRDefault="00384C9C" w:rsidP="00C959D1">
            <w:pPr>
              <w:spacing w:after="0"/>
              <w:jc w:val="center"/>
              <w:rPr>
                <w:sz w:val="20"/>
              </w:rPr>
            </w:pPr>
            <w:r>
              <w:rPr>
                <w:sz w:val="20"/>
              </w:rPr>
              <w:t>29,781</w:t>
            </w:r>
            <w:r w:rsidRPr="00975D81">
              <w:rPr>
                <w:sz w:val="20"/>
                <w:vertAlign w:val="superscript"/>
              </w:rPr>
              <w:t>(</w:t>
            </w:r>
            <w:r>
              <w:rPr>
                <w:sz w:val="20"/>
                <w:vertAlign w:val="superscript"/>
              </w:rPr>
              <w:t>9</w:t>
            </w:r>
            <w:r w:rsidRPr="00975D81">
              <w:rPr>
                <w:sz w:val="20"/>
                <w:vertAlign w:val="superscript"/>
              </w:rPr>
              <w:t>)</w:t>
            </w:r>
          </w:p>
        </w:tc>
        <w:tc>
          <w:tcPr>
            <w:tcW w:w="1323" w:type="dxa"/>
          </w:tcPr>
          <w:p w:rsidR="00384C9C" w:rsidRPr="00E15BA2" w:rsidRDefault="00384C9C" w:rsidP="00C959D1">
            <w:pPr>
              <w:spacing w:after="0"/>
              <w:jc w:val="center"/>
              <w:rPr>
                <w:sz w:val="20"/>
              </w:rPr>
            </w:pPr>
            <w:r>
              <w:rPr>
                <w:sz w:val="20"/>
              </w:rPr>
              <w:t>187,501</w:t>
            </w:r>
          </w:p>
        </w:tc>
      </w:tr>
      <w:tr w:rsidR="00384C9C" w:rsidRPr="00E15BA2" w:rsidTr="00AB746D">
        <w:trPr>
          <w:jc w:val="center"/>
        </w:trPr>
        <w:tc>
          <w:tcPr>
            <w:tcW w:w="2468" w:type="dxa"/>
            <w:tcBorders>
              <w:bottom w:val="single" w:sz="4" w:space="0" w:color="auto"/>
            </w:tcBorders>
            <w:tcMar>
              <w:top w:w="0" w:type="dxa"/>
              <w:left w:w="115" w:type="dxa"/>
              <w:bottom w:w="58" w:type="dxa"/>
              <w:right w:w="115" w:type="dxa"/>
            </w:tcMar>
            <w:vAlign w:val="center"/>
          </w:tcPr>
          <w:p w:rsidR="00384C9C" w:rsidRPr="00E15BA2" w:rsidRDefault="00384C9C" w:rsidP="001C5CBB">
            <w:pPr>
              <w:widowControl/>
              <w:tabs>
                <w:tab w:val="left" w:pos="360"/>
              </w:tabs>
              <w:spacing w:after="0"/>
              <w:jc w:val="left"/>
              <w:rPr>
                <w:sz w:val="20"/>
              </w:rPr>
            </w:pPr>
          </w:p>
        </w:tc>
        <w:tc>
          <w:tcPr>
            <w:tcW w:w="1284" w:type="dxa"/>
            <w:tcBorders>
              <w:bottom w:val="single" w:sz="4" w:space="0" w:color="auto"/>
            </w:tcBorders>
            <w:shd w:val="clear" w:color="auto" w:fill="auto"/>
            <w:tcMar>
              <w:top w:w="0" w:type="dxa"/>
              <w:left w:w="115" w:type="dxa"/>
              <w:bottom w:w="58" w:type="dxa"/>
              <w:right w:w="115" w:type="dxa"/>
            </w:tcMar>
          </w:tcPr>
          <w:p w:rsidR="00384C9C" w:rsidRPr="00E15BA2" w:rsidRDefault="00384C9C" w:rsidP="00AB746D">
            <w:pPr>
              <w:widowControl/>
              <w:tabs>
                <w:tab w:val="left" w:pos="360"/>
              </w:tabs>
              <w:spacing w:after="0"/>
              <w:jc w:val="center"/>
              <w:rPr>
                <w:sz w:val="20"/>
              </w:rPr>
            </w:pPr>
          </w:p>
        </w:tc>
        <w:tc>
          <w:tcPr>
            <w:tcW w:w="1139" w:type="dxa"/>
            <w:tcBorders>
              <w:bottom w:val="single" w:sz="4" w:space="0" w:color="auto"/>
            </w:tcBorders>
            <w:shd w:val="clear" w:color="auto" w:fill="auto"/>
            <w:tcMar>
              <w:top w:w="0" w:type="dxa"/>
              <w:left w:w="115" w:type="dxa"/>
              <w:bottom w:w="58" w:type="dxa"/>
              <w:right w:w="115" w:type="dxa"/>
            </w:tcMar>
          </w:tcPr>
          <w:p w:rsidR="00384C9C" w:rsidRPr="00E15BA2" w:rsidRDefault="00384C9C" w:rsidP="00AB746D">
            <w:pPr>
              <w:spacing w:after="0"/>
              <w:jc w:val="center"/>
              <w:rPr>
                <w:sz w:val="20"/>
              </w:rPr>
            </w:pPr>
          </w:p>
        </w:tc>
        <w:tc>
          <w:tcPr>
            <w:tcW w:w="1281" w:type="dxa"/>
            <w:tcBorders>
              <w:bottom w:val="single" w:sz="4" w:space="0" w:color="auto"/>
            </w:tcBorders>
            <w:shd w:val="clear" w:color="auto" w:fill="auto"/>
            <w:tcMar>
              <w:top w:w="0" w:type="dxa"/>
              <w:left w:w="115" w:type="dxa"/>
              <w:bottom w:w="58" w:type="dxa"/>
              <w:right w:w="115" w:type="dxa"/>
            </w:tcMar>
          </w:tcPr>
          <w:p w:rsidR="00384C9C" w:rsidRPr="00E15BA2" w:rsidRDefault="00384C9C" w:rsidP="00AB746D">
            <w:pPr>
              <w:spacing w:after="0"/>
              <w:jc w:val="center"/>
              <w:rPr>
                <w:sz w:val="20"/>
              </w:rPr>
            </w:pPr>
          </w:p>
        </w:tc>
        <w:tc>
          <w:tcPr>
            <w:tcW w:w="1323" w:type="dxa"/>
            <w:tcBorders>
              <w:bottom w:val="single" w:sz="4" w:space="0" w:color="auto"/>
            </w:tcBorders>
          </w:tcPr>
          <w:p w:rsidR="00384C9C" w:rsidRDefault="00384C9C" w:rsidP="00AB746D">
            <w:pPr>
              <w:spacing w:after="0"/>
              <w:jc w:val="center"/>
              <w:rPr>
                <w:sz w:val="20"/>
              </w:rPr>
            </w:pPr>
            <w:r>
              <w:rPr>
                <w:sz w:val="20"/>
              </w:rPr>
              <w:t>29,781</w:t>
            </w:r>
            <w:r w:rsidRPr="00975D81">
              <w:rPr>
                <w:sz w:val="20"/>
                <w:vertAlign w:val="superscript"/>
              </w:rPr>
              <w:t>(</w:t>
            </w:r>
            <w:r>
              <w:rPr>
                <w:sz w:val="20"/>
                <w:vertAlign w:val="superscript"/>
              </w:rPr>
              <w:t>10</w:t>
            </w:r>
            <w:r w:rsidRPr="00975D81">
              <w:rPr>
                <w:sz w:val="20"/>
                <w:vertAlign w:val="superscript"/>
              </w:rPr>
              <w:t>)</w:t>
            </w:r>
          </w:p>
        </w:tc>
        <w:tc>
          <w:tcPr>
            <w:tcW w:w="1323" w:type="dxa"/>
            <w:tcBorders>
              <w:bottom w:val="single" w:sz="4" w:space="0" w:color="auto"/>
            </w:tcBorders>
          </w:tcPr>
          <w:p w:rsidR="00384C9C" w:rsidRDefault="00384C9C" w:rsidP="00AB746D">
            <w:pPr>
              <w:spacing w:after="0"/>
              <w:jc w:val="center"/>
              <w:rPr>
                <w:sz w:val="20"/>
              </w:rPr>
            </w:pPr>
            <w:r>
              <w:rPr>
                <w:sz w:val="20"/>
              </w:rPr>
              <w:t>187,501</w:t>
            </w:r>
          </w:p>
        </w:tc>
      </w:tr>
    </w:tbl>
    <w:p w:rsidR="008F3F30" w:rsidRDefault="00FC2F95" w:rsidP="000D0AFE">
      <w:pPr>
        <w:keepNext/>
        <w:widowControl/>
        <w:tabs>
          <w:tab w:val="left" w:pos="720"/>
        </w:tabs>
        <w:spacing w:before="100" w:after="60"/>
        <w:ind w:left="360"/>
        <w:jc w:val="left"/>
        <w:rPr>
          <w:sz w:val="20"/>
        </w:rPr>
      </w:pPr>
      <w:r>
        <w:rPr>
          <w:sz w:val="20"/>
        </w:rPr>
        <w:t>(1)</w:t>
      </w:r>
      <w:r>
        <w:rPr>
          <w:sz w:val="20"/>
        </w:rPr>
        <w:tab/>
      </w:r>
      <w:r w:rsidR="007D04FB" w:rsidRPr="00734F80">
        <w:rPr>
          <w:sz w:val="20"/>
        </w:rPr>
        <w:t xml:space="preserve">The </w:t>
      </w:r>
      <w:r w:rsidR="007D04FB" w:rsidRPr="00734F80">
        <w:rPr>
          <w:i/>
          <w:sz w:val="20"/>
        </w:rPr>
        <w:t>Threshold</w:t>
      </w:r>
      <w:r w:rsidR="007D04FB" w:rsidRPr="00734F80">
        <w:rPr>
          <w:sz w:val="20"/>
        </w:rPr>
        <w:t xml:space="preserve"> represents the </w:t>
      </w:r>
      <w:r w:rsidR="008F3F30">
        <w:rPr>
          <w:sz w:val="20"/>
        </w:rPr>
        <w:t>sum of —</w:t>
      </w:r>
    </w:p>
    <w:p w:rsidR="008F3F30" w:rsidRDefault="00E2558C" w:rsidP="000D0AFE">
      <w:pPr>
        <w:pStyle w:val="ListParagraph"/>
        <w:keepNext/>
        <w:widowControl/>
        <w:numPr>
          <w:ilvl w:val="0"/>
          <w:numId w:val="25"/>
        </w:numPr>
        <w:tabs>
          <w:tab w:val="left" w:pos="1080"/>
        </w:tabs>
        <w:spacing w:after="60"/>
        <w:ind w:left="1080"/>
        <w:contextualSpacing w:val="0"/>
        <w:jc w:val="left"/>
        <w:rPr>
          <w:sz w:val="20"/>
        </w:rPr>
      </w:pPr>
      <w:r>
        <w:rPr>
          <w:sz w:val="20"/>
        </w:rPr>
        <w:t xml:space="preserve">80% </w:t>
      </w:r>
      <w:r w:rsidR="008620DF">
        <w:rPr>
          <w:sz w:val="20"/>
        </w:rPr>
        <w:t xml:space="preserve">achievement </w:t>
      </w:r>
      <w:r w:rsidR="005C386F">
        <w:rPr>
          <w:sz w:val="20"/>
        </w:rPr>
        <w:t>of the financial goal</w:t>
      </w:r>
      <w:r w:rsidR="008620DF">
        <w:rPr>
          <w:sz w:val="20"/>
        </w:rPr>
        <w:t xml:space="preserve">, which </w:t>
      </w:r>
      <w:r w:rsidR="00C617E5">
        <w:rPr>
          <w:sz w:val="20"/>
        </w:rPr>
        <w:t>was</w:t>
      </w:r>
      <w:r w:rsidR="008620DF">
        <w:rPr>
          <w:sz w:val="20"/>
        </w:rPr>
        <w:t xml:space="preserve"> the minimum level of achievement </w:t>
      </w:r>
      <w:r w:rsidR="005C386F">
        <w:rPr>
          <w:sz w:val="20"/>
        </w:rPr>
        <w:t xml:space="preserve">that </w:t>
      </w:r>
      <w:r w:rsidR="00C617E5">
        <w:rPr>
          <w:sz w:val="20"/>
        </w:rPr>
        <w:t>was</w:t>
      </w:r>
      <w:r w:rsidR="005C386F">
        <w:rPr>
          <w:sz w:val="20"/>
        </w:rPr>
        <w:t xml:space="preserve"> required for any </w:t>
      </w:r>
      <w:r w:rsidR="008F3F30">
        <w:rPr>
          <w:sz w:val="20"/>
        </w:rPr>
        <w:t>payout</w:t>
      </w:r>
      <w:r w:rsidR="008620DF">
        <w:rPr>
          <w:sz w:val="20"/>
        </w:rPr>
        <w:t xml:space="preserve"> for the financial goal</w:t>
      </w:r>
      <w:r w:rsidR="008F3F30">
        <w:rPr>
          <w:sz w:val="20"/>
        </w:rPr>
        <w:t>; and</w:t>
      </w:r>
    </w:p>
    <w:p w:rsidR="007D04FB" w:rsidRPr="00734F80" w:rsidRDefault="007D04FB" w:rsidP="00E15BA2">
      <w:pPr>
        <w:pStyle w:val="ListParagraph"/>
        <w:widowControl/>
        <w:numPr>
          <w:ilvl w:val="0"/>
          <w:numId w:val="25"/>
        </w:numPr>
        <w:tabs>
          <w:tab w:val="left" w:pos="1080"/>
        </w:tabs>
        <w:spacing w:after="60"/>
        <w:ind w:left="1080"/>
        <w:contextualSpacing w:val="0"/>
        <w:jc w:val="left"/>
        <w:rPr>
          <w:sz w:val="20"/>
        </w:rPr>
      </w:pPr>
      <w:r w:rsidRPr="00734F80">
        <w:rPr>
          <w:sz w:val="20"/>
        </w:rPr>
        <w:t xml:space="preserve">25% achievement </w:t>
      </w:r>
      <w:r w:rsidR="008620DF">
        <w:rPr>
          <w:sz w:val="20"/>
        </w:rPr>
        <w:t xml:space="preserve">of </w:t>
      </w:r>
      <w:r w:rsidR="00954C7E">
        <w:rPr>
          <w:sz w:val="20"/>
        </w:rPr>
        <w:t>individual performance goals</w:t>
      </w:r>
      <w:r w:rsidR="008620DF">
        <w:rPr>
          <w:sz w:val="20"/>
        </w:rPr>
        <w:t xml:space="preserve">, which </w:t>
      </w:r>
      <w:r w:rsidR="00A14A90">
        <w:rPr>
          <w:sz w:val="20"/>
        </w:rPr>
        <w:t>i</w:t>
      </w:r>
      <w:r w:rsidR="00C617E5">
        <w:rPr>
          <w:sz w:val="20"/>
        </w:rPr>
        <w:t>s</w:t>
      </w:r>
      <w:r w:rsidR="008620DF">
        <w:rPr>
          <w:sz w:val="20"/>
        </w:rPr>
        <w:t xml:space="preserve"> </w:t>
      </w:r>
      <w:r w:rsidR="00466A2C">
        <w:rPr>
          <w:sz w:val="20"/>
        </w:rPr>
        <w:t xml:space="preserve">a notional </w:t>
      </w:r>
      <w:r w:rsidR="00527DE2">
        <w:rPr>
          <w:sz w:val="20"/>
        </w:rPr>
        <w:t>percent</w:t>
      </w:r>
      <w:r w:rsidR="00C70570">
        <w:rPr>
          <w:sz w:val="20"/>
        </w:rPr>
        <w:t>age</w:t>
      </w:r>
      <w:r w:rsidR="00527DE2">
        <w:rPr>
          <w:sz w:val="20"/>
        </w:rPr>
        <w:t xml:space="preserve"> </w:t>
      </w:r>
      <w:r w:rsidRPr="00734F80">
        <w:rPr>
          <w:sz w:val="20"/>
        </w:rPr>
        <w:t xml:space="preserve">since </w:t>
      </w:r>
      <w:r>
        <w:rPr>
          <w:sz w:val="20"/>
        </w:rPr>
        <w:t xml:space="preserve">there </w:t>
      </w:r>
      <w:r w:rsidR="00C617E5">
        <w:rPr>
          <w:sz w:val="20"/>
        </w:rPr>
        <w:t>was</w:t>
      </w:r>
      <w:r>
        <w:rPr>
          <w:sz w:val="20"/>
        </w:rPr>
        <w:t xml:space="preserve"> no </w:t>
      </w:r>
      <w:r w:rsidR="008F3F30">
        <w:rPr>
          <w:sz w:val="20"/>
        </w:rPr>
        <w:t xml:space="preserve">required </w:t>
      </w:r>
      <w:r>
        <w:rPr>
          <w:sz w:val="20"/>
        </w:rPr>
        <w:t>minimum</w:t>
      </w:r>
      <w:r w:rsidR="00E2558C">
        <w:rPr>
          <w:sz w:val="20"/>
        </w:rPr>
        <w:t>,</w:t>
      </w:r>
      <w:r>
        <w:rPr>
          <w:sz w:val="20"/>
        </w:rPr>
        <w:t xml:space="preserve"> or threshold</w:t>
      </w:r>
      <w:r w:rsidR="00E2558C">
        <w:rPr>
          <w:sz w:val="20"/>
        </w:rPr>
        <w:t>,</w:t>
      </w:r>
      <w:r>
        <w:rPr>
          <w:sz w:val="20"/>
        </w:rPr>
        <w:t xml:space="preserve"> </w:t>
      </w:r>
      <w:r w:rsidRPr="00734F80">
        <w:rPr>
          <w:sz w:val="20"/>
        </w:rPr>
        <w:t xml:space="preserve">level of achievement </w:t>
      </w:r>
      <w:r>
        <w:rPr>
          <w:sz w:val="20"/>
        </w:rPr>
        <w:t>for</w:t>
      </w:r>
      <w:r w:rsidR="00A57847">
        <w:rPr>
          <w:sz w:val="20"/>
        </w:rPr>
        <w:t xml:space="preserve"> a payout for</w:t>
      </w:r>
      <w:r w:rsidRPr="00734F80">
        <w:rPr>
          <w:sz w:val="20"/>
        </w:rPr>
        <w:t xml:space="preserve"> </w:t>
      </w:r>
      <w:r w:rsidR="00954C7E">
        <w:rPr>
          <w:sz w:val="20"/>
        </w:rPr>
        <w:t>individual performance goals</w:t>
      </w:r>
      <w:r w:rsidRPr="00734F80">
        <w:rPr>
          <w:sz w:val="20"/>
        </w:rPr>
        <w:t xml:space="preserve">.  </w:t>
      </w:r>
    </w:p>
    <w:p w:rsidR="00387416" w:rsidRDefault="00E15BA2" w:rsidP="00672977">
      <w:pPr>
        <w:widowControl/>
        <w:tabs>
          <w:tab w:val="left" w:pos="720"/>
        </w:tabs>
        <w:spacing w:after="60"/>
        <w:ind w:left="720" w:hanging="360"/>
        <w:jc w:val="left"/>
        <w:rPr>
          <w:sz w:val="20"/>
        </w:rPr>
      </w:pPr>
      <w:r>
        <w:rPr>
          <w:sz w:val="20"/>
        </w:rPr>
        <w:t>(2)</w:t>
      </w:r>
      <w:r>
        <w:rPr>
          <w:sz w:val="20"/>
        </w:rPr>
        <w:tab/>
      </w:r>
      <w:r w:rsidR="00C959D1" w:rsidRPr="00E15BA2">
        <w:rPr>
          <w:sz w:val="20"/>
        </w:rPr>
        <w:t xml:space="preserve">The </w:t>
      </w:r>
      <w:r w:rsidR="00C959D1" w:rsidRPr="00E15BA2">
        <w:rPr>
          <w:i/>
          <w:sz w:val="20"/>
        </w:rPr>
        <w:t>Target</w:t>
      </w:r>
      <w:r w:rsidR="00C959D1" w:rsidRPr="00E15BA2">
        <w:rPr>
          <w:sz w:val="20"/>
        </w:rPr>
        <w:t xml:space="preserve"> represents the</w:t>
      </w:r>
      <w:r w:rsidR="00387416">
        <w:rPr>
          <w:sz w:val="20"/>
        </w:rPr>
        <w:t xml:space="preserve"> sum of —</w:t>
      </w:r>
    </w:p>
    <w:p w:rsidR="00387416" w:rsidRDefault="00387416" w:rsidP="00672977">
      <w:pPr>
        <w:pStyle w:val="ListParagraph"/>
        <w:widowControl/>
        <w:numPr>
          <w:ilvl w:val="0"/>
          <w:numId w:val="25"/>
        </w:numPr>
        <w:tabs>
          <w:tab w:val="left" w:pos="1080"/>
        </w:tabs>
        <w:spacing w:after="60"/>
        <w:ind w:left="1080"/>
        <w:contextualSpacing w:val="0"/>
        <w:jc w:val="left"/>
        <w:rPr>
          <w:sz w:val="20"/>
        </w:rPr>
      </w:pPr>
      <w:r>
        <w:rPr>
          <w:sz w:val="20"/>
        </w:rPr>
        <w:t xml:space="preserve">100% achievement of </w:t>
      </w:r>
      <w:r w:rsidR="00C959D1" w:rsidRPr="00E15BA2">
        <w:rPr>
          <w:sz w:val="20"/>
        </w:rPr>
        <w:t>the financial goal</w:t>
      </w:r>
      <w:r>
        <w:rPr>
          <w:sz w:val="20"/>
        </w:rPr>
        <w:t>; and</w:t>
      </w:r>
    </w:p>
    <w:p w:rsidR="00BA00F9" w:rsidRPr="00E15BA2" w:rsidRDefault="00587A29" w:rsidP="00387416">
      <w:pPr>
        <w:pStyle w:val="ListParagraph"/>
        <w:widowControl/>
        <w:numPr>
          <w:ilvl w:val="0"/>
          <w:numId w:val="25"/>
        </w:numPr>
        <w:tabs>
          <w:tab w:val="left" w:pos="1080"/>
        </w:tabs>
        <w:spacing w:after="40"/>
        <w:ind w:left="1080"/>
        <w:contextualSpacing w:val="0"/>
        <w:jc w:val="left"/>
        <w:rPr>
          <w:sz w:val="20"/>
        </w:rPr>
      </w:pPr>
      <w:r>
        <w:rPr>
          <w:sz w:val="20"/>
        </w:rPr>
        <w:t xml:space="preserve">100% </w:t>
      </w:r>
      <w:r w:rsidR="00387416">
        <w:rPr>
          <w:sz w:val="20"/>
        </w:rPr>
        <w:t xml:space="preserve">achievement of </w:t>
      </w:r>
      <w:r w:rsidR="00954C7E">
        <w:rPr>
          <w:sz w:val="20"/>
        </w:rPr>
        <w:t>individual performance goals</w:t>
      </w:r>
      <w:r w:rsidR="00C959D1" w:rsidRPr="00E15BA2">
        <w:rPr>
          <w:sz w:val="20"/>
        </w:rPr>
        <w:t>.</w:t>
      </w:r>
      <w:r w:rsidR="00474A85" w:rsidRPr="00E15BA2">
        <w:rPr>
          <w:sz w:val="20"/>
        </w:rPr>
        <w:t xml:space="preserve">  </w:t>
      </w:r>
    </w:p>
    <w:p w:rsidR="007D04FB" w:rsidRPr="00E15BA2" w:rsidRDefault="00E15BA2" w:rsidP="00672977">
      <w:pPr>
        <w:widowControl/>
        <w:tabs>
          <w:tab w:val="left" w:pos="720"/>
        </w:tabs>
        <w:spacing w:after="60"/>
        <w:ind w:left="720" w:hanging="360"/>
        <w:jc w:val="left"/>
        <w:rPr>
          <w:sz w:val="20"/>
        </w:rPr>
      </w:pPr>
      <w:r>
        <w:rPr>
          <w:sz w:val="20"/>
        </w:rPr>
        <w:t>(3)</w:t>
      </w:r>
      <w:r>
        <w:rPr>
          <w:sz w:val="20"/>
        </w:rPr>
        <w:tab/>
      </w:r>
      <w:r w:rsidR="00C959D1" w:rsidRPr="00E15BA2">
        <w:rPr>
          <w:sz w:val="20"/>
        </w:rPr>
        <w:t xml:space="preserve">The </w:t>
      </w:r>
      <w:r w:rsidR="00C959D1" w:rsidRPr="00E15BA2">
        <w:rPr>
          <w:i/>
          <w:sz w:val="20"/>
        </w:rPr>
        <w:t>Maximum</w:t>
      </w:r>
      <w:r w:rsidR="00C959D1" w:rsidRPr="00E15BA2">
        <w:rPr>
          <w:sz w:val="20"/>
        </w:rPr>
        <w:t xml:space="preserve"> represents the </w:t>
      </w:r>
      <w:r w:rsidR="007D04FB" w:rsidRPr="00E15BA2">
        <w:rPr>
          <w:sz w:val="20"/>
        </w:rPr>
        <w:t>sum of —</w:t>
      </w:r>
    </w:p>
    <w:p w:rsidR="00466A2C" w:rsidRPr="00734F80" w:rsidRDefault="000E2B24" w:rsidP="00672977">
      <w:pPr>
        <w:pStyle w:val="ListParagraph"/>
        <w:widowControl/>
        <w:numPr>
          <w:ilvl w:val="0"/>
          <w:numId w:val="25"/>
        </w:numPr>
        <w:tabs>
          <w:tab w:val="left" w:pos="1080"/>
        </w:tabs>
        <w:spacing w:after="60"/>
        <w:ind w:left="1080"/>
        <w:contextualSpacing w:val="0"/>
        <w:jc w:val="left"/>
        <w:rPr>
          <w:sz w:val="20"/>
        </w:rPr>
      </w:pPr>
      <w:r>
        <w:rPr>
          <w:sz w:val="20"/>
        </w:rPr>
        <w:t xml:space="preserve">120% </w:t>
      </w:r>
      <w:r w:rsidR="00D94647">
        <w:rPr>
          <w:sz w:val="20"/>
        </w:rPr>
        <w:t xml:space="preserve">achievement of the </w:t>
      </w:r>
      <w:r w:rsidR="00474A85">
        <w:rPr>
          <w:sz w:val="20"/>
        </w:rPr>
        <w:t>financial goal</w:t>
      </w:r>
      <w:r w:rsidR="00D94647">
        <w:rPr>
          <w:sz w:val="20"/>
        </w:rPr>
        <w:t xml:space="preserve">, which </w:t>
      </w:r>
      <w:r w:rsidR="00C617E5">
        <w:rPr>
          <w:sz w:val="20"/>
        </w:rPr>
        <w:t>was</w:t>
      </w:r>
      <w:r w:rsidR="00D94647">
        <w:rPr>
          <w:sz w:val="20"/>
        </w:rPr>
        <w:t xml:space="preserve"> the maximum that </w:t>
      </w:r>
      <w:r w:rsidR="00C617E5">
        <w:rPr>
          <w:sz w:val="20"/>
        </w:rPr>
        <w:t xml:space="preserve">could have been </w:t>
      </w:r>
      <w:r w:rsidR="00D94647">
        <w:rPr>
          <w:sz w:val="20"/>
        </w:rPr>
        <w:t xml:space="preserve">be earned even if the achievement level </w:t>
      </w:r>
      <w:r w:rsidR="00C617E5">
        <w:rPr>
          <w:sz w:val="20"/>
        </w:rPr>
        <w:t>was</w:t>
      </w:r>
      <w:r w:rsidR="00D94647">
        <w:rPr>
          <w:sz w:val="20"/>
        </w:rPr>
        <w:t xml:space="preserve"> higher than 120%</w:t>
      </w:r>
      <w:r w:rsidR="00474A85">
        <w:rPr>
          <w:sz w:val="20"/>
        </w:rPr>
        <w:t xml:space="preserve">; and </w:t>
      </w:r>
    </w:p>
    <w:p w:rsidR="007D04FB" w:rsidRDefault="00760ED4" w:rsidP="00D94647">
      <w:pPr>
        <w:pStyle w:val="ListParagraph"/>
        <w:widowControl/>
        <w:numPr>
          <w:ilvl w:val="0"/>
          <w:numId w:val="25"/>
        </w:numPr>
        <w:tabs>
          <w:tab w:val="left" w:pos="1080"/>
        </w:tabs>
        <w:spacing w:after="40"/>
        <w:ind w:left="1080"/>
        <w:contextualSpacing w:val="0"/>
        <w:jc w:val="left"/>
        <w:rPr>
          <w:sz w:val="20"/>
        </w:rPr>
      </w:pPr>
      <w:r>
        <w:rPr>
          <w:sz w:val="20"/>
        </w:rPr>
        <w:t>100%</w:t>
      </w:r>
      <w:r w:rsidR="00D94647">
        <w:rPr>
          <w:sz w:val="20"/>
        </w:rPr>
        <w:t xml:space="preserve"> achievement of </w:t>
      </w:r>
      <w:r w:rsidR="00954C7E">
        <w:rPr>
          <w:sz w:val="20"/>
        </w:rPr>
        <w:t>individual performance goals</w:t>
      </w:r>
      <w:r w:rsidR="00D94647">
        <w:rPr>
          <w:sz w:val="20"/>
        </w:rPr>
        <w:t xml:space="preserve">, which </w:t>
      </w:r>
      <w:r w:rsidR="00C617E5">
        <w:rPr>
          <w:sz w:val="20"/>
        </w:rPr>
        <w:t>was</w:t>
      </w:r>
      <w:r w:rsidR="00D94647">
        <w:rPr>
          <w:sz w:val="20"/>
        </w:rPr>
        <w:t xml:space="preserve"> the maximum that </w:t>
      </w:r>
      <w:r w:rsidR="00C617E5">
        <w:rPr>
          <w:sz w:val="20"/>
        </w:rPr>
        <w:t xml:space="preserve">could have </w:t>
      </w:r>
      <w:r w:rsidR="00D94647">
        <w:rPr>
          <w:sz w:val="20"/>
        </w:rPr>
        <w:t>be</w:t>
      </w:r>
      <w:r w:rsidR="00C617E5">
        <w:rPr>
          <w:sz w:val="20"/>
        </w:rPr>
        <w:t>en</w:t>
      </w:r>
      <w:r w:rsidR="00D94647">
        <w:rPr>
          <w:sz w:val="20"/>
        </w:rPr>
        <w:t xml:space="preserve"> earned </w:t>
      </w:r>
      <w:r w:rsidR="00D94647" w:rsidRPr="00D94647">
        <w:rPr>
          <w:sz w:val="20"/>
        </w:rPr>
        <w:t xml:space="preserve">even if </w:t>
      </w:r>
      <w:r w:rsidR="00D94647">
        <w:rPr>
          <w:sz w:val="20"/>
        </w:rPr>
        <w:t xml:space="preserve">in some manner </w:t>
      </w:r>
      <w:r w:rsidR="00D94647" w:rsidRPr="00D94647">
        <w:rPr>
          <w:sz w:val="20"/>
        </w:rPr>
        <w:t xml:space="preserve">the </w:t>
      </w:r>
      <w:r w:rsidR="00733404">
        <w:rPr>
          <w:sz w:val="20"/>
        </w:rPr>
        <w:t xml:space="preserve">actual </w:t>
      </w:r>
      <w:r w:rsidR="00D94647" w:rsidRPr="00D94647">
        <w:rPr>
          <w:sz w:val="20"/>
        </w:rPr>
        <w:t xml:space="preserve">achievement level </w:t>
      </w:r>
      <w:r w:rsidR="00C617E5">
        <w:rPr>
          <w:sz w:val="20"/>
        </w:rPr>
        <w:t>was</w:t>
      </w:r>
      <w:r w:rsidR="00D94647" w:rsidRPr="00D94647">
        <w:rPr>
          <w:sz w:val="20"/>
        </w:rPr>
        <w:t xml:space="preserve"> higher than </w:t>
      </w:r>
      <w:r w:rsidR="00D94647">
        <w:rPr>
          <w:sz w:val="20"/>
        </w:rPr>
        <w:t>100</w:t>
      </w:r>
      <w:r w:rsidR="00D94647" w:rsidRPr="00D94647">
        <w:rPr>
          <w:sz w:val="20"/>
        </w:rPr>
        <w:t>%</w:t>
      </w:r>
      <w:r w:rsidR="00C70570">
        <w:rPr>
          <w:sz w:val="20"/>
        </w:rPr>
        <w:t>.</w:t>
      </w:r>
    </w:p>
    <w:p w:rsidR="0079714A" w:rsidRDefault="00975D81" w:rsidP="00975D81">
      <w:pPr>
        <w:widowControl/>
        <w:tabs>
          <w:tab w:val="left" w:pos="720"/>
        </w:tabs>
        <w:spacing w:after="60"/>
        <w:ind w:left="720" w:hanging="360"/>
        <w:jc w:val="left"/>
        <w:rPr>
          <w:sz w:val="20"/>
        </w:rPr>
      </w:pPr>
      <w:r>
        <w:rPr>
          <w:sz w:val="20"/>
        </w:rPr>
        <w:lastRenderedPageBreak/>
        <w:t>(4)</w:t>
      </w:r>
      <w:r>
        <w:rPr>
          <w:sz w:val="20"/>
        </w:rPr>
        <w:tab/>
      </w:r>
      <w:r w:rsidR="0079714A">
        <w:rPr>
          <w:sz w:val="20"/>
        </w:rPr>
        <w:t>Mr. Varello</w:t>
      </w:r>
      <w:r w:rsidR="00EF4C1B">
        <w:rPr>
          <w:sz w:val="20"/>
        </w:rPr>
        <w:t xml:space="preserve"> did not participate in any cash-based incentive </w:t>
      </w:r>
      <w:r w:rsidR="00D8786E">
        <w:rPr>
          <w:sz w:val="20"/>
        </w:rPr>
        <w:t xml:space="preserve">compensation </w:t>
      </w:r>
      <w:r w:rsidR="00EF4C1B">
        <w:rPr>
          <w:sz w:val="20"/>
        </w:rPr>
        <w:t xml:space="preserve">plan in 2015.  His </w:t>
      </w:r>
      <w:r w:rsidR="0079714A">
        <w:rPr>
          <w:sz w:val="20"/>
        </w:rPr>
        <w:t>shares represent a</w:t>
      </w:r>
      <w:r w:rsidR="008348B1">
        <w:rPr>
          <w:sz w:val="20"/>
        </w:rPr>
        <w:t>n award under a</w:t>
      </w:r>
      <w:r w:rsidR="0079714A">
        <w:rPr>
          <w:sz w:val="20"/>
        </w:rPr>
        <w:t xml:space="preserve"> </w:t>
      </w:r>
      <w:r w:rsidR="0079714A" w:rsidRPr="0079714A">
        <w:rPr>
          <w:sz w:val="20"/>
        </w:rPr>
        <w:t xml:space="preserve">one-time </w:t>
      </w:r>
      <w:r w:rsidR="0079714A">
        <w:rPr>
          <w:sz w:val="20"/>
        </w:rPr>
        <w:t xml:space="preserve">restricted </w:t>
      </w:r>
      <w:r w:rsidR="0079714A" w:rsidRPr="0079714A">
        <w:rPr>
          <w:sz w:val="20"/>
        </w:rPr>
        <w:t>stock plan for the Company’s Chief Executive Officer</w:t>
      </w:r>
      <w:r w:rsidR="0079714A">
        <w:rPr>
          <w:sz w:val="20"/>
        </w:rPr>
        <w:t xml:space="preserve"> that was approved by stockholders in May 2015.  The shares vest in three installments on the first three anniversaries of the March 9, 2015 award date</w:t>
      </w:r>
      <w:r w:rsidR="00786504">
        <w:rPr>
          <w:sz w:val="20"/>
        </w:rPr>
        <w:t>,</w:t>
      </w:r>
      <w:r w:rsidR="0079714A">
        <w:rPr>
          <w:sz w:val="20"/>
        </w:rPr>
        <w:t xml:space="preserve"> when the closing price </w:t>
      </w:r>
      <w:r w:rsidR="006A04C9">
        <w:rPr>
          <w:sz w:val="20"/>
        </w:rPr>
        <w:t xml:space="preserve">of the Company's common stock </w:t>
      </w:r>
      <w:r w:rsidR="0079714A">
        <w:rPr>
          <w:sz w:val="20"/>
        </w:rPr>
        <w:t>was $3.22 per share.</w:t>
      </w:r>
    </w:p>
    <w:p w:rsidR="0079714A" w:rsidRDefault="0079714A" w:rsidP="00975D81">
      <w:pPr>
        <w:widowControl/>
        <w:tabs>
          <w:tab w:val="left" w:pos="720"/>
        </w:tabs>
        <w:spacing w:after="60"/>
        <w:ind w:left="720" w:hanging="360"/>
        <w:jc w:val="left"/>
        <w:rPr>
          <w:sz w:val="20"/>
        </w:rPr>
      </w:pPr>
      <w:r>
        <w:rPr>
          <w:sz w:val="20"/>
        </w:rPr>
        <w:t>(5)</w:t>
      </w:r>
      <w:r>
        <w:rPr>
          <w:sz w:val="20"/>
        </w:rPr>
        <w:tab/>
        <w:t xml:space="preserve">Mr. Ballschmiede </w:t>
      </w:r>
      <w:r w:rsidR="00EF4C1B">
        <w:rPr>
          <w:sz w:val="20"/>
        </w:rPr>
        <w:t xml:space="preserve">did not participate in any incentive </w:t>
      </w:r>
      <w:r w:rsidR="00D8786E">
        <w:rPr>
          <w:sz w:val="20"/>
        </w:rPr>
        <w:t xml:space="preserve">compensation </w:t>
      </w:r>
      <w:r w:rsidR="00EF4C1B">
        <w:rPr>
          <w:sz w:val="20"/>
        </w:rPr>
        <w:t xml:space="preserve">plan in 2015.  </w:t>
      </w:r>
      <w:r w:rsidR="00892CA7">
        <w:rPr>
          <w:sz w:val="20"/>
        </w:rPr>
        <w:t>His</w:t>
      </w:r>
      <w:r w:rsidR="00D8786E">
        <w:rPr>
          <w:sz w:val="20"/>
        </w:rPr>
        <w:t xml:space="preserve"> shares </w:t>
      </w:r>
      <w:r>
        <w:rPr>
          <w:sz w:val="20"/>
        </w:rPr>
        <w:t xml:space="preserve">represent a restricted stock award </w:t>
      </w:r>
      <w:r w:rsidR="00124F1D">
        <w:rPr>
          <w:sz w:val="20"/>
        </w:rPr>
        <w:t xml:space="preserve">made to him </w:t>
      </w:r>
      <w:r>
        <w:rPr>
          <w:sz w:val="20"/>
        </w:rPr>
        <w:t>in connection with his joining the Company in November 2015.  The shares vest in two installments</w:t>
      </w:r>
      <w:r w:rsidR="00124F1D">
        <w:rPr>
          <w:sz w:val="20"/>
        </w:rPr>
        <w:t>,</w:t>
      </w:r>
      <w:r>
        <w:rPr>
          <w:sz w:val="20"/>
        </w:rPr>
        <w:t xml:space="preserve"> on the first two anniversaries of the November 9, 2015 award date</w:t>
      </w:r>
      <w:r w:rsidR="00786504">
        <w:rPr>
          <w:sz w:val="20"/>
        </w:rPr>
        <w:t>,</w:t>
      </w:r>
      <w:r>
        <w:rPr>
          <w:sz w:val="20"/>
        </w:rPr>
        <w:t xml:space="preserve"> when the closing price </w:t>
      </w:r>
      <w:r w:rsidR="00556D81">
        <w:rPr>
          <w:sz w:val="20"/>
        </w:rPr>
        <w:t xml:space="preserve">of the Company's common stock </w:t>
      </w:r>
      <w:r>
        <w:rPr>
          <w:sz w:val="20"/>
        </w:rPr>
        <w:t>was $4.67 per share.</w:t>
      </w:r>
    </w:p>
    <w:p w:rsidR="0079714A" w:rsidRDefault="0079714A" w:rsidP="00975D81">
      <w:pPr>
        <w:widowControl/>
        <w:tabs>
          <w:tab w:val="left" w:pos="720"/>
        </w:tabs>
        <w:spacing w:after="60"/>
        <w:ind w:left="720" w:hanging="360"/>
        <w:jc w:val="left"/>
        <w:rPr>
          <w:sz w:val="20"/>
        </w:rPr>
      </w:pPr>
      <w:r>
        <w:rPr>
          <w:sz w:val="20"/>
        </w:rPr>
        <w:t>(6)</w:t>
      </w:r>
      <w:r>
        <w:rPr>
          <w:sz w:val="20"/>
        </w:rPr>
        <w:tab/>
      </w:r>
      <w:r w:rsidR="009D754C" w:rsidRPr="009D754C">
        <w:rPr>
          <w:sz w:val="20"/>
        </w:rPr>
        <w:t xml:space="preserve">Mr. Barzun </w:t>
      </w:r>
      <w:r w:rsidR="009D754C">
        <w:rPr>
          <w:sz w:val="20"/>
        </w:rPr>
        <w:t xml:space="preserve">does not participate in the Company's incentive compensation plans.  </w:t>
      </w:r>
    </w:p>
    <w:p w:rsidR="0079714A" w:rsidRDefault="0079714A" w:rsidP="00975D81">
      <w:pPr>
        <w:widowControl/>
        <w:tabs>
          <w:tab w:val="left" w:pos="720"/>
        </w:tabs>
        <w:spacing w:after="60"/>
        <w:ind w:left="720" w:hanging="360"/>
        <w:jc w:val="left"/>
        <w:rPr>
          <w:sz w:val="20"/>
        </w:rPr>
      </w:pPr>
      <w:r>
        <w:rPr>
          <w:sz w:val="20"/>
        </w:rPr>
        <w:t>(7)</w:t>
      </w:r>
      <w:r>
        <w:rPr>
          <w:sz w:val="20"/>
        </w:rPr>
        <w:tab/>
      </w:r>
      <w:r w:rsidR="00394732">
        <w:rPr>
          <w:sz w:val="20"/>
        </w:rPr>
        <w:t xml:space="preserve">Mr. Blair did not participate in any cash incentive </w:t>
      </w:r>
      <w:r w:rsidR="00D8786E">
        <w:rPr>
          <w:sz w:val="20"/>
        </w:rPr>
        <w:t xml:space="preserve">compensation </w:t>
      </w:r>
      <w:r w:rsidR="00394732">
        <w:rPr>
          <w:sz w:val="20"/>
        </w:rPr>
        <w:t>plan for 2015</w:t>
      </w:r>
      <w:r w:rsidR="006E39A9">
        <w:rPr>
          <w:sz w:val="20"/>
        </w:rPr>
        <w:t xml:space="preserve"> </w:t>
      </w:r>
      <w:r w:rsidR="00DF7266">
        <w:rPr>
          <w:sz w:val="20"/>
        </w:rPr>
        <w:t>with the result</w:t>
      </w:r>
      <w:r w:rsidR="006E39A9">
        <w:rPr>
          <w:sz w:val="20"/>
        </w:rPr>
        <w:t xml:space="preserve"> that </w:t>
      </w:r>
      <w:r w:rsidR="00510010">
        <w:rPr>
          <w:sz w:val="20"/>
        </w:rPr>
        <w:t xml:space="preserve">there is no </w:t>
      </w:r>
      <w:r w:rsidR="006E39A9" w:rsidRPr="00D12D52">
        <w:rPr>
          <w:sz w:val="20"/>
        </w:rPr>
        <w:t>possible payout at any level for 201</w:t>
      </w:r>
      <w:r w:rsidR="006E39A9">
        <w:rPr>
          <w:sz w:val="20"/>
        </w:rPr>
        <w:t>5</w:t>
      </w:r>
      <w:r w:rsidR="00394732">
        <w:rPr>
          <w:sz w:val="20"/>
        </w:rPr>
        <w:t xml:space="preserve">.  </w:t>
      </w:r>
      <w:r w:rsidR="00892CA7">
        <w:rPr>
          <w:sz w:val="20"/>
        </w:rPr>
        <w:t xml:space="preserve">His </w:t>
      </w:r>
      <w:r w:rsidR="00394732">
        <w:rPr>
          <w:sz w:val="20"/>
        </w:rPr>
        <w:t xml:space="preserve">shares </w:t>
      </w:r>
      <w:r w:rsidR="00DF7266">
        <w:rPr>
          <w:sz w:val="20"/>
        </w:rPr>
        <w:t xml:space="preserve">represent an award </w:t>
      </w:r>
      <w:r w:rsidR="00892CA7">
        <w:rPr>
          <w:sz w:val="20"/>
        </w:rPr>
        <w:t xml:space="preserve">under the 2015 Long-Term Incentive Compensation Program </w:t>
      </w:r>
      <w:r w:rsidR="006D39FC">
        <w:rPr>
          <w:sz w:val="20"/>
        </w:rPr>
        <w:t xml:space="preserve">of </w:t>
      </w:r>
      <w:r>
        <w:rPr>
          <w:sz w:val="20"/>
        </w:rPr>
        <w:t>restricted stock</w:t>
      </w:r>
      <w:r w:rsidR="004B676C">
        <w:rPr>
          <w:sz w:val="20"/>
        </w:rPr>
        <w:t xml:space="preserve"> </w:t>
      </w:r>
      <w:r w:rsidR="00DF7266">
        <w:rPr>
          <w:sz w:val="20"/>
        </w:rPr>
        <w:t xml:space="preserve">as of </w:t>
      </w:r>
      <w:r w:rsidR="004B676C">
        <w:rPr>
          <w:sz w:val="20"/>
        </w:rPr>
        <w:t>January 1, 2015</w:t>
      </w:r>
      <w:r w:rsidR="006D39FC">
        <w:rPr>
          <w:sz w:val="20"/>
        </w:rPr>
        <w:t xml:space="preserve"> that </w:t>
      </w:r>
      <w:r>
        <w:rPr>
          <w:sz w:val="20"/>
        </w:rPr>
        <w:t>vest on January 1, 2018</w:t>
      </w:r>
      <w:r w:rsidR="006D39FC">
        <w:rPr>
          <w:sz w:val="20"/>
        </w:rPr>
        <w:t xml:space="preserve">.  </w:t>
      </w:r>
      <w:r w:rsidR="00892CA7">
        <w:rPr>
          <w:sz w:val="20"/>
        </w:rPr>
        <w:t>T</w:t>
      </w:r>
      <w:r>
        <w:rPr>
          <w:sz w:val="20"/>
        </w:rPr>
        <w:t xml:space="preserve">he number of shares </w:t>
      </w:r>
      <w:r w:rsidR="006D39FC">
        <w:rPr>
          <w:sz w:val="20"/>
        </w:rPr>
        <w:t xml:space="preserve">awarded is </w:t>
      </w:r>
      <w:r>
        <w:rPr>
          <w:sz w:val="20"/>
        </w:rPr>
        <w:t xml:space="preserve">based on </w:t>
      </w:r>
      <w:r w:rsidR="00DF7266">
        <w:rPr>
          <w:sz w:val="20"/>
        </w:rPr>
        <w:t xml:space="preserve">10% of his </w:t>
      </w:r>
      <w:r w:rsidR="0013615B">
        <w:rPr>
          <w:sz w:val="20"/>
        </w:rPr>
        <w:t xml:space="preserve">annual </w:t>
      </w:r>
      <w:r w:rsidR="00DF7266">
        <w:rPr>
          <w:sz w:val="20"/>
        </w:rPr>
        <w:t xml:space="preserve">salary divided by </w:t>
      </w:r>
      <w:r>
        <w:rPr>
          <w:sz w:val="20"/>
        </w:rPr>
        <w:t>the average closing price of the Company's stock in December 2014 ($6.296 per share)</w:t>
      </w:r>
      <w:r w:rsidR="00C25513">
        <w:rPr>
          <w:sz w:val="20"/>
        </w:rPr>
        <w:t xml:space="preserve"> as provided in the plan.  </w:t>
      </w:r>
    </w:p>
    <w:p w:rsidR="00975D81" w:rsidRDefault="00FE0535" w:rsidP="00975D81">
      <w:pPr>
        <w:widowControl/>
        <w:tabs>
          <w:tab w:val="left" w:pos="720"/>
        </w:tabs>
        <w:spacing w:after="60"/>
        <w:ind w:left="720" w:hanging="360"/>
        <w:jc w:val="left"/>
        <w:rPr>
          <w:sz w:val="20"/>
        </w:rPr>
      </w:pPr>
      <w:r>
        <w:rPr>
          <w:sz w:val="20"/>
        </w:rPr>
        <w:t>(8)</w:t>
      </w:r>
      <w:r>
        <w:rPr>
          <w:sz w:val="20"/>
        </w:rPr>
        <w:tab/>
      </w:r>
      <w:r w:rsidR="00975D81">
        <w:rPr>
          <w:sz w:val="20"/>
        </w:rPr>
        <w:t xml:space="preserve">Mr. MacKenna's employment terminated in early 2015, </w:t>
      </w:r>
      <w:r w:rsidR="00271B48">
        <w:rPr>
          <w:sz w:val="20"/>
        </w:rPr>
        <w:t>with the result that</w:t>
      </w:r>
      <w:r w:rsidR="00CE24AE">
        <w:rPr>
          <w:sz w:val="20"/>
        </w:rPr>
        <w:t>, as provided in his employment agreement,</w:t>
      </w:r>
      <w:r w:rsidR="00271B48">
        <w:rPr>
          <w:sz w:val="20"/>
        </w:rPr>
        <w:t xml:space="preserve"> </w:t>
      </w:r>
      <w:r w:rsidR="00975D81">
        <w:rPr>
          <w:sz w:val="20"/>
        </w:rPr>
        <w:t>what would have been his incentive</w:t>
      </w:r>
      <w:r w:rsidR="00CE24AE">
        <w:rPr>
          <w:sz w:val="20"/>
        </w:rPr>
        <w:t xml:space="preserve"> compensation</w:t>
      </w:r>
      <w:r w:rsidR="00975D81">
        <w:rPr>
          <w:sz w:val="20"/>
        </w:rPr>
        <w:t xml:space="preserve"> for 2015 was paid in full </w:t>
      </w:r>
      <w:r w:rsidR="0079714A">
        <w:rPr>
          <w:sz w:val="20"/>
        </w:rPr>
        <w:t xml:space="preserve">in cash </w:t>
      </w:r>
      <w:r w:rsidR="00975D81">
        <w:rPr>
          <w:sz w:val="20"/>
        </w:rPr>
        <w:t xml:space="preserve">as if all </w:t>
      </w:r>
      <w:r w:rsidR="00271B48">
        <w:rPr>
          <w:sz w:val="20"/>
        </w:rPr>
        <w:t xml:space="preserve">2015 </w:t>
      </w:r>
      <w:r w:rsidR="00975D81">
        <w:rPr>
          <w:sz w:val="20"/>
        </w:rPr>
        <w:t xml:space="preserve">goals </w:t>
      </w:r>
      <w:r w:rsidR="00CE24AE">
        <w:rPr>
          <w:sz w:val="20"/>
        </w:rPr>
        <w:t xml:space="preserve">(financial and </w:t>
      </w:r>
      <w:r w:rsidR="00954C7E">
        <w:rPr>
          <w:sz w:val="20"/>
        </w:rPr>
        <w:t>individual</w:t>
      </w:r>
      <w:r w:rsidR="00CE24AE">
        <w:rPr>
          <w:sz w:val="20"/>
        </w:rPr>
        <w:t xml:space="preserve">) </w:t>
      </w:r>
      <w:r w:rsidR="00975D81">
        <w:rPr>
          <w:sz w:val="20"/>
        </w:rPr>
        <w:t xml:space="preserve">had been achieved.  </w:t>
      </w:r>
    </w:p>
    <w:p w:rsidR="0079714A" w:rsidRDefault="008239FD" w:rsidP="00975D81">
      <w:pPr>
        <w:widowControl/>
        <w:tabs>
          <w:tab w:val="left" w:pos="720"/>
        </w:tabs>
        <w:spacing w:after="60"/>
        <w:ind w:left="720" w:hanging="360"/>
        <w:jc w:val="left"/>
        <w:rPr>
          <w:sz w:val="20"/>
        </w:rPr>
      </w:pPr>
      <w:r>
        <w:rPr>
          <w:sz w:val="20"/>
        </w:rPr>
        <w:t>(9</w:t>
      </w:r>
      <w:r w:rsidR="0079714A">
        <w:rPr>
          <w:sz w:val="20"/>
        </w:rPr>
        <w:t>)</w:t>
      </w:r>
      <w:r w:rsidR="0079714A">
        <w:rPr>
          <w:sz w:val="20"/>
        </w:rPr>
        <w:tab/>
      </w:r>
      <w:r w:rsidR="00B810AC">
        <w:rPr>
          <w:sz w:val="20"/>
        </w:rPr>
        <w:t xml:space="preserve">These are shares of restricted stock awarded to Mr. Wright on January 1, 2015 </w:t>
      </w:r>
      <w:r w:rsidR="0013615B">
        <w:rPr>
          <w:sz w:val="20"/>
        </w:rPr>
        <w:t xml:space="preserve">under the Company's Long-Term Incentive Compensation Program </w:t>
      </w:r>
      <w:r w:rsidR="00DF7266">
        <w:rPr>
          <w:sz w:val="20"/>
        </w:rPr>
        <w:t xml:space="preserve">and </w:t>
      </w:r>
      <w:r w:rsidR="0013615B">
        <w:rPr>
          <w:sz w:val="20"/>
        </w:rPr>
        <w:t xml:space="preserve">were intended </w:t>
      </w:r>
      <w:r w:rsidR="00DF7266">
        <w:rPr>
          <w:sz w:val="20"/>
        </w:rPr>
        <w:t xml:space="preserve">to vest if he remained an employee on </w:t>
      </w:r>
      <w:r w:rsidR="00B810AC">
        <w:rPr>
          <w:sz w:val="20"/>
        </w:rPr>
        <w:t>January 1, 2018</w:t>
      </w:r>
      <w:r w:rsidR="00DF7266">
        <w:rPr>
          <w:sz w:val="20"/>
        </w:rPr>
        <w:t xml:space="preserve">.  </w:t>
      </w:r>
      <w:r w:rsidR="0013615B">
        <w:rPr>
          <w:sz w:val="20"/>
        </w:rPr>
        <w:t>However, t</w:t>
      </w:r>
      <w:r w:rsidR="00DF7266">
        <w:rPr>
          <w:sz w:val="20"/>
        </w:rPr>
        <w:t>he vesting was accelerated when he left the Company in July 2015</w:t>
      </w:r>
      <w:r>
        <w:rPr>
          <w:sz w:val="20"/>
        </w:rPr>
        <w:t xml:space="preserve">.  As provided in the </w:t>
      </w:r>
      <w:r w:rsidR="0013615B">
        <w:rPr>
          <w:sz w:val="20"/>
        </w:rPr>
        <w:t xml:space="preserve">incentive </w:t>
      </w:r>
      <w:r>
        <w:rPr>
          <w:sz w:val="20"/>
        </w:rPr>
        <w:t xml:space="preserve">plan, the number of shares </w:t>
      </w:r>
      <w:r w:rsidR="00B810AC">
        <w:rPr>
          <w:sz w:val="20"/>
        </w:rPr>
        <w:t xml:space="preserve">awarded </w:t>
      </w:r>
      <w:r>
        <w:rPr>
          <w:sz w:val="20"/>
        </w:rPr>
        <w:t xml:space="preserve">was based on </w:t>
      </w:r>
      <w:r w:rsidR="0013615B">
        <w:rPr>
          <w:sz w:val="20"/>
        </w:rPr>
        <w:t xml:space="preserve">half </w:t>
      </w:r>
      <w:r w:rsidR="00923BC4">
        <w:rPr>
          <w:sz w:val="20"/>
        </w:rPr>
        <w:t xml:space="preserve">of </w:t>
      </w:r>
      <w:r w:rsidR="0013615B">
        <w:rPr>
          <w:sz w:val="20"/>
        </w:rPr>
        <w:t xml:space="preserve">his </w:t>
      </w:r>
      <w:r w:rsidR="00923BC4">
        <w:rPr>
          <w:sz w:val="20"/>
        </w:rPr>
        <w:t xml:space="preserve">$375,000 </w:t>
      </w:r>
      <w:r w:rsidR="0013615B">
        <w:rPr>
          <w:sz w:val="20"/>
        </w:rPr>
        <w:t xml:space="preserve">annual salary divided by </w:t>
      </w:r>
      <w:r>
        <w:rPr>
          <w:sz w:val="20"/>
        </w:rPr>
        <w:t>the average closing price of the Company's stock in December 2014 ($6.296 per share.)</w:t>
      </w:r>
    </w:p>
    <w:p w:rsidR="008239FD" w:rsidRPr="00E15BA2" w:rsidRDefault="008239FD" w:rsidP="00975D81">
      <w:pPr>
        <w:widowControl/>
        <w:tabs>
          <w:tab w:val="left" w:pos="720"/>
        </w:tabs>
        <w:spacing w:after="60"/>
        <w:ind w:left="720" w:hanging="360"/>
        <w:jc w:val="left"/>
        <w:rPr>
          <w:sz w:val="20"/>
        </w:rPr>
      </w:pPr>
      <w:r>
        <w:rPr>
          <w:sz w:val="20"/>
        </w:rPr>
        <w:t>(10)</w:t>
      </w:r>
      <w:r>
        <w:rPr>
          <w:sz w:val="20"/>
        </w:rPr>
        <w:tab/>
        <w:t xml:space="preserve">These are restricted stock </w:t>
      </w:r>
      <w:r w:rsidR="00B810AC">
        <w:rPr>
          <w:sz w:val="20"/>
        </w:rPr>
        <w:t xml:space="preserve">units awarded to Mr. Wright </w:t>
      </w:r>
      <w:r>
        <w:rPr>
          <w:sz w:val="20"/>
        </w:rPr>
        <w:t xml:space="preserve">under the Company's Long-Term Incentive Compensation Program that </w:t>
      </w:r>
      <w:r w:rsidR="0013615B">
        <w:rPr>
          <w:sz w:val="20"/>
        </w:rPr>
        <w:t xml:space="preserve">were intended to </w:t>
      </w:r>
      <w:r>
        <w:rPr>
          <w:sz w:val="20"/>
        </w:rPr>
        <w:t xml:space="preserve">vest </w:t>
      </w:r>
      <w:r w:rsidR="00B810AC">
        <w:rPr>
          <w:sz w:val="20"/>
        </w:rPr>
        <w:t xml:space="preserve">if the </w:t>
      </w:r>
      <w:r>
        <w:rPr>
          <w:sz w:val="20"/>
        </w:rPr>
        <w:t xml:space="preserve">Company's total shareholder return (TSR) over the following three years </w:t>
      </w:r>
      <w:r w:rsidR="0013615B">
        <w:rPr>
          <w:sz w:val="20"/>
        </w:rPr>
        <w:t xml:space="preserve">met a goal based on </w:t>
      </w:r>
      <w:r w:rsidR="00B810AC">
        <w:rPr>
          <w:sz w:val="20"/>
        </w:rPr>
        <w:t xml:space="preserve">the </w:t>
      </w:r>
      <w:r>
        <w:rPr>
          <w:sz w:val="20"/>
        </w:rPr>
        <w:t xml:space="preserve">TSR of a peer group of companies.  </w:t>
      </w:r>
      <w:r w:rsidR="00CF5610">
        <w:rPr>
          <w:sz w:val="20"/>
        </w:rPr>
        <w:t xml:space="preserve">The number of restricted stock units was calculated in the same manner as described in footnote 9, above.  </w:t>
      </w:r>
      <w:r>
        <w:rPr>
          <w:sz w:val="20"/>
        </w:rPr>
        <w:t xml:space="preserve">When Mr. </w:t>
      </w:r>
      <w:r w:rsidR="00B810AC">
        <w:rPr>
          <w:sz w:val="20"/>
        </w:rPr>
        <w:t>Wright left the Company in July</w:t>
      </w:r>
      <w:r>
        <w:rPr>
          <w:sz w:val="20"/>
        </w:rPr>
        <w:t xml:space="preserve"> 2015</w:t>
      </w:r>
      <w:r w:rsidR="00B810AC">
        <w:rPr>
          <w:sz w:val="20"/>
        </w:rPr>
        <w:t>,</w:t>
      </w:r>
      <w:r>
        <w:rPr>
          <w:sz w:val="20"/>
        </w:rPr>
        <w:t xml:space="preserve"> the units were forfeited.</w:t>
      </w:r>
      <w:r w:rsidR="00CF5610">
        <w:rPr>
          <w:sz w:val="20"/>
        </w:rPr>
        <w:t xml:space="preserve">  </w:t>
      </w:r>
    </w:p>
    <w:p w:rsidR="00A52D2A" w:rsidRDefault="00FC2F95" w:rsidP="00E15BA2">
      <w:pPr>
        <w:widowControl/>
        <w:spacing w:before="100" w:after="60"/>
        <w:ind w:left="360"/>
        <w:jc w:val="left"/>
        <w:rPr>
          <w:sz w:val="22"/>
          <w:szCs w:val="22"/>
        </w:rPr>
      </w:pPr>
      <w:r w:rsidRPr="00B41A26">
        <w:rPr>
          <w:sz w:val="22"/>
          <w:szCs w:val="22"/>
        </w:rPr>
        <w:t xml:space="preserve">The following table shows </w:t>
      </w:r>
      <w:r w:rsidR="00AF22FD" w:rsidRPr="00B41A26">
        <w:rPr>
          <w:sz w:val="22"/>
          <w:szCs w:val="22"/>
        </w:rPr>
        <w:t xml:space="preserve">the </w:t>
      </w:r>
      <w:r w:rsidR="005332CF" w:rsidRPr="00B41A26">
        <w:rPr>
          <w:sz w:val="22"/>
          <w:szCs w:val="22"/>
        </w:rPr>
        <w:t xml:space="preserve">percentages </w:t>
      </w:r>
      <w:r w:rsidR="00AF22FD" w:rsidRPr="00B41A26">
        <w:rPr>
          <w:sz w:val="22"/>
          <w:szCs w:val="22"/>
        </w:rPr>
        <w:t xml:space="preserve">on which the </w:t>
      </w:r>
      <w:r w:rsidR="00C2520E" w:rsidRPr="00B41A26">
        <w:rPr>
          <w:sz w:val="22"/>
          <w:szCs w:val="22"/>
        </w:rPr>
        <w:t xml:space="preserve">estimated </w:t>
      </w:r>
      <w:r w:rsidR="00AF22FD" w:rsidRPr="00B41A26">
        <w:rPr>
          <w:sz w:val="22"/>
          <w:szCs w:val="22"/>
        </w:rPr>
        <w:t xml:space="preserve">possible payouts </w:t>
      </w:r>
      <w:r w:rsidR="00A52D2A">
        <w:rPr>
          <w:sz w:val="22"/>
          <w:szCs w:val="22"/>
        </w:rPr>
        <w:t xml:space="preserve">to Mr. Wright </w:t>
      </w:r>
      <w:r w:rsidR="00AF22FD" w:rsidRPr="00B41A26">
        <w:rPr>
          <w:sz w:val="22"/>
          <w:szCs w:val="22"/>
        </w:rPr>
        <w:t>in the table above are based.</w:t>
      </w:r>
      <w:r w:rsidR="004D42FA" w:rsidRPr="00B41A26">
        <w:rPr>
          <w:sz w:val="22"/>
          <w:szCs w:val="22"/>
        </w:rPr>
        <w:t xml:space="preserve">  </w:t>
      </w:r>
      <w:r w:rsidR="00EB5F89">
        <w:rPr>
          <w:sz w:val="22"/>
          <w:szCs w:val="22"/>
        </w:rPr>
        <w:t xml:space="preserve">Mr. Wright's </w:t>
      </w:r>
      <w:r w:rsidR="00E15BA2" w:rsidRPr="00B41A26">
        <w:rPr>
          <w:sz w:val="22"/>
          <w:szCs w:val="22"/>
        </w:rPr>
        <w:t>t</w:t>
      </w:r>
      <w:r w:rsidR="00C2520E" w:rsidRPr="00B41A26">
        <w:rPr>
          <w:sz w:val="22"/>
          <w:szCs w:val="22"/>
        </w:rPr>
        <w:t>arget</w:t>
      </w:r>
      <w:r w:rsidR="00623D8F">
        <w:rPr>
          <w:sz w:val="22"/>
          <w:szCs w:val="22"/>
        </w:rPr>
        <w:t>s</w:t>
      </w:r>
      <w:r w:rsidR="00C2520E" w:rsidRPr="00B41A26">
        <w:rPr>
          <w:sz w:val="22"/>
          <w:szCs w:val="22"/>
        </w:rPr>
        <w:t xml:space="preserve"> </w:t>
      </w:r>
      <w:r w:rsidR="002176FE">
        <w:rPr>
          <w:sz w:val="22"/>
          <w:szCs w:val="22"/>
        </w:rPr>
        <w:t xml:space="preserve">were established </w:t>
      </w:r>
      <w:r w:rsidR="000D0AFE">
        <w:rPr>
          <w:sz w:val="22"/>
          <w:szCs w:val="22"/>
        </w:rPr>
        <w:t xml:space="preserve">in the </w:t>
      </w:r>
      <w:r w:rsidR="001C1E28" w:rsidRPr="00B41A26">
        <w:rPr>
          <w:sz w:val="22"/>
          <w:szCs w:val="22"/>
        </w:rPr>
        <w:t>Company's 201</w:t>
      </w:r>
      <w:r w:rsidR="00AD0038">
        <w:rPr>
          <w:sz w:val="22"/>
          <w:szCs w:val="22"/>
        </w:rPr>
        <w:t>5</w:t>
      </w:r>
      <w:r w:rsidR="001C1E28" w:rsidRPr="00B41A26">
        <w:rPr>
          <w:sz w:val="22"/>
          <w:szCs w:val="22"/>
        </w:rPr>
        <w:t xml:space="preserve"> </w:t>
      </w:r>
      <w:r w:rsidR="00FD7401">
        <w:rPr>
          <w:sz w:val="22"/>
          <w:szCs w:val="22"/>
        </w:rPr>
        <w:t xml:space="preserve">Short-Term </w:t>
      </w:r>
      <w:r w:rsidR="00A52D2A">
        <w:rPr>
          <w:sz w:val="22"/>
          <w:szCs w:val="22"/>
        </w:rPr>
        <w:t xml:space="preserve">(STIP) </w:t>
      </w:r>
      <w:r w:rsidR="00FD7401">
        <w:rPr>
          <w:sz w:val="22"/>
          <w:szCs w:val="22"/>
        </w:rPr>
        <w:t xml:space="preserve">and Long-Term </w:t>
      </w:r>
      <w:r w:rsidR="00A52D2A">
        <w:rPr>
          <w:sz w:val="22"/>
          <w:szCs w:val="22"/>
        </w:rPr>
        <w:t xml:space="preserve">(LTIP) </w:t>
      </w:r>
      <w:r w:rsidR="00FD7401">
        <w:rPr>
          <w:sz w:val="22"/>
          <w:szCs w:val="22"/>
        </w:rPr>
        <w:t>Incentive Compensation Program</w:t>
      </w:r>
      <w:r w:rsidR="006F74E9">
        <w:rPr>
          <w:sz w:val="22"/>
          <w:szCs w:val="22"/>
        </w:rPr>
        <w:t>s</w:t>
      </w:r>
      <w:r w:rsidR="00A52D2A">
        <w:rPr>
          <w:sz w:val="22"/>
          <w:szCs w:val="22"/>
        </w:rPr>
        <w:t xml:space="preserve"> </w:t>
      </w:r>
      <w:r w:rsidR="000859CC">
        <w:rPr>
          <w:sz w:val="22"/>
          <w:szCs w:val="22"/>
        </w:rPr>
        <w:t xml:space="preserve">in </w:t>
      </w:r>
      <w:r w:rsidR="00FD7401">
        <w:rPr>
          <w:sz w:val="22"/>
          <w:szCs w:val="22"/>
        </w:rPr>
        <w:t xml:space="preserve">both of which </w:t>
      </w:r>
      <w:r w:rsidR="00AD0038">
        <w:rPr>
          <w:sz w:val="22"/>
          <w:szCs w:val="22"/>
        </w:rPr>
        <w:t xml:space="preserve">he </w:t>
      </w:r>
      <w:r w:rsidR="000859CC">
        <w:rPr>
          <w:sz w:val="22"/>
          <w:szCs w:val="22"/>
        </w:rPr>
        <w:t>participated</w:t>
      </w:r>
      <w:r w:rsidR="001C1E28" w:rsidRPr="00B41A26">
        <w:rPr>
          <w:sz w:val="22"/>
          <w:szCs w:val="22"/>
        </w:rPr>
        <w:t xml:space="preserve">.  </w:t>
      </w:r>
      <w:r w:rsidR="001C2CDF">
        <w:rPr>
          <w:sz w:val="22"/>
          <w:szCs w:val="22"/>
        </w:rPr>
        <w:t>As noted above, Messrs. Varello, Ballschmiede and Barzun did not participate in the 2015 incentive compensation programs</w:t>
      </w:r>
      <w:r w:rsidR="00A52D2A">
        <w:rPr>
          <w:sz w:val="22"/>
          <w:szCs w:val="22"/>
        </w:rPr>
        <w:t xml:space="preserve"> and Mr. MacKenna left the Company in January 2015.</w:t>
      </w:r>
      <w:r w:rsidR="001C2CDF">
        <w:rPr>
          <w:sz w:val="22"/>
          <w:szCs w:val="22"/>
        </w:rPr>
        <w:t xml:space="preserve">  Mr. Blair only participated in the </w:t>
      </w:r>
      <w:r w:rsidR="00A26C64">
        <w:rPr>
          <w:sz w:val="22"/>
          <w:szCs w:val="22"/>
        </w:rPr>
        <w:t xml:space="preserve">equity-based </w:t>
      </w:r>
      <w:r w:rsidR="001C2CDF">
        <w:rPr>
          <w:sz w:val="22"/>
          <w:szCs w:val="22"/>
        </w:rPr>
        <w:t>Long-Term Incentive Compensation Program.</w:t>
      </w:r>
      <w:r w:rsidR="00A52D2A">
        <w:rPr>
          <w:sz w:val="22"/>
          <w:szCs w:val="22"/>
        </w:rPr>
        <w:t xml:space="preserve">  </w:t>
      </w:r>
      <w:r w:rsidR="00A52D2A" w:rsidRPr="00A52D2A">
        <w:rPr>
          <w:sz w:val="22"/>
          <w:szCs w:val="22"/>
        </w:rPr>
        <w:t xml:space="preserve">Mr. MacKenna left the Company in January 2015 and pursuant to his employment agreement he was entitled to his full target incentive compensation payable in cash as if all financial and individual performance goals had been met.  </w:t>
      </w:r>
    </w:p>
    <w:tbl>
      <w:tblPr>
        <w:tblStyle w:val="TableGrid"/>
        <w:tblW w:w="10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115" w:type="dxa"/>
          <w:right w:w="115" w:type="dxa"/>
        </w:tblCellMar>
        <w:tblLook w:val="04A0" w:firstRow="1" w:lastRow="0" w:firstColumn="1" w:lastColumn="0" w:noHBand="0" w:noVBand="1"/>
      </w:tblPr>
      <w:tblGrid>
        <w:gridCol w:w="1635"/>
        <w:gridCol w:w="870"/>
        <w:gridCol w:w="1341"/>
        <w:gridCol w:w="1100"/>
        <w:gridCol w:w="960"/>
        <w:gridCol w:w="1230"/>
        <w:gridCol w:w="840"/>
        <w:gridCol w:w="1020"/>
        <w:gridCol w:w="1020"/>
      </w:tblGrid>
      <w:tr w:rsidR="00A52D2A" w:rsidRPr="00A52D2A" w:rsidTr="00A52D2A">
        <w:trPr>
          <w:cantSplit/>
          <w:tblHeader/>
          <w:jc w:val="center"/>
        </w:trPr>
        <w:tc>
          <w:tcPr>
            <w:tcW w:w="1635" w:type="dxa"/>
            <w:tcBorders>
              <w:bottom w:val="single" w:sz="2" w:space="0" w:color="auto"/>
            </w:tcBorders>
            <w:shd w:val="clear" w:color="auto" w:fill="FFFFFF" w:themeFill="background1"/>
            <w:tcMar>
              <w:top w:w="58" w:type="dxa"/>
              <w:left w:w="115" w:type="dxa"/>
              <w:bottom w:w="58" w:type="dxa"/>
              <w:right w:w="115" w:type="dxa"/>
            </w:tcMar>
            <w:vAlign w:val="bottom"/>
          </w:tcPr>
          <w:p w:rsidR="00A52D2A" w:rsidRPr="00A52D2A" w:rsidRDefault="00A52D2A" w:rsidP="00A52D2A">
            <w:pPr>
              <w:widowControl/>
              <w:spacing w:after="0"/>
              <w:jc w:val="center"/>
              <w:rPr>
                <w:b/>
                <w:sz w:val="18"/>
                <w:szCs w:val="18"/>
              </w:rPr>
            </w:pPr>
            <w:r w:rsidRPr="00A52D2A">
              <w:rPr>
                <w:b/>
                <w:sz w:val="18"/>
                <w:szCs w:val="18"/>
              </w:rPr>
              <w:t>Name</w:t>
            </w:r>
          </w:p>
        </w:tc>
        <w:tc>
          <w:tcPr>
            <w:tcW w:w="87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Salary</w:t>
            </w:r>
          </w:p>
          <w:p w:rsidR="00A52D2A" w:rsidRPr="00A52D2A" w:rsidRDefault="00A52D2A" w:rsidP="00A52D2A">
            <w:pPr>
              <w:widowControl/>
              <w:spacing w:after="0"/>
              <w:jc w:val="center"/>
              <w:rPr>
                <w:b/>
                <w:sz w:val="18"/>
                <w:szCs w:val="18"/>
              </w:rPr>
            </w:pPr>
            <w:r w:rsidRPr="00A52D2A">
              <w:rPr>
                <w:b/>
                <w:sz w:val="18"/>
                <w:szCs w:val="18"/>
              </w:rPr>
              <w:t>($)</w:t>
            </w:r>
          </w:p>
        </w:tc>
        <w:tc>
          <w:tcPr>
            <w:tcW w:w="1341"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sz w:val="18"/>
                <w:szCs w:val="18"/>
              </w:rPr>
            </w:pPr>
            <w:r w:rsidRPr="00A52D2A">
              <w:rPr>
                <w:b/>
                <w:sz w:val="18"/>
                <w:szCs w:val="18"/>
              </w:rPr>
              <w:t>Target Incentive Compensation as a Percent of Salary</w:t>
            </w:r>
          </w:p>
        </w:tc>
        <w:tc>
          <w:tcPr>
            <w:tcW w:w="110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Percent Allocated to a Financial Goal</w:t>
            </w:r>
          </w:p>
        </w:tc>
        <w:tc>
          <w:tcPr>
            <w:tcW w:w="96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 xml:space="preserve">Percent Allocated to </w:t>
            </w:r>
            <w:r>
              <w:rPr>
                <w:b/>
                <w:sz w:val="18"/>
                <w:szCs w:val="18"/>
              </w:rPr>
              <w:t>a</w:t>
            </w:r>
            <w:r w:rsidRPr="00A52D2A">
              <w:rPr>
                <w:b/>
                <w:sz w:val="18"/>
                <w:szCs w:val="18"/>
              </w:rPr>
              <w:t xml:space="preserve"> TSR Goal</w:t>
            </w:r>
          </w:p>
        </w:tc>
        <w:tc>
          <w:tcPr>
            <w:tcW w:w="123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Percent Allocated to Individual Performance Goals</w:t>
            </w:r>
          </w:p>
        </w:tc>
        <w:tc>
          <w:tcPr>
            <w:tcW w:w="84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Percent Payable in Cash</w:t>
            </w:r>
          </w:p>
        </w:tc>
        <w:tc>
          <w:tcPr>
            <w:tcW w:w="102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 xml:space="preserve">Percent Payable in </w:t>
            </w:r>
            <w:r w:rsidR="00DF3CC6">
              <w:rPr>
                <w:b/>
                <w:sz w:val="18"/>
                <w:szCs w:val="18"/>
              </w:rPr>
              <w:t xml:space="preserve">Time-Based </w:t>
            </w:r>
            <w:r w:rsidRPr="00A52D2A">
              <w:rPr>
                <w:b/>
                <w:sz w:val="18"/>
                <w:szCs w:val="18"/>
              </w:rPr>
              <w:t>Restricted Stock</w:t>
            </w:r>
            <w:r w:rsidRPr="00A52D2A">
              <w:rPr>
                <w:b/>
                <w:sz w:val="18"/>
                <w:szCs w:val="18"/>
                <w:vertAlign w:val="superscript"/>
              </w:rPr>
              <w:t>(1)</w:t>
            </w:r>
          </w:p>
        </w:tc>
        <w:tc>
          <w:tcPr>
            <w:tcW w:w="1020" w:type="dxa"/>
            <w:tcBorders>
              <w:bottom w:val="single" w:sz="2" w:space="0" w:color="auto"/>
            </w:tcBorders>
            <w:shd w:val="clear" w:color="auto" w:fill="FFFFFF" w:themeFill="background1"/>
            <w:vAlign w:val="bottom"/>
          </w:tcPr>
          <w:p w:rsidR="00A52D2A" w:rsidRPr="00A52D2A" w:rsidRDefault="00A52D2A" w:rsidP="00A52D2A">
            <w:pPr>
              <w:widowControl/>
              <w:spacing w:after="0"/>
              <w:jc w:val="center"/>
              <w:rPr>
                <w:b/>
                <w:sz w:val="18"/>
                <w:szCs w:val="18"/>
              </w:rPr>
            </w:pPr>
            <w:r w:rsidRPr="00A52D2A">
              <w:rPr>
                <w:b/>
                <w:sz w:val="18"/>
                <w:szCs w:val="18"/>
              </w:rPr>
              <w:t>Percent Payable in Restricted Stock Units</w:t>
            </w:r>
            <w:r w:rsidRPr="00A52D2A">
              <w:rPr>
                <w:b/>
                <w:sz w:val="18"/>
                <w:szCs w:val="18"/>
                <w:vertAlign w:val="superscript"/>
              </w:rPr>
              <w:t>(1)</w:t>
            </w:r>
          </w:p>
        </w:tc>
      </w:tr>
      <w:tr w:rsidR="00A52D2A" w:rsidRPr="00A52D2A" w:rsidTr="00A52D2A">
        <w:trPr>
          <w:jc w:val="center"/>
        </w:trPr>
        <w:tc>
          <w:tcPr>
            <w:tcW w:w="1635" w:type="dxa"/>
            <w:shd w:val="clear" w:color="auto" w:fill="FFFFFF" w:themeFill="background1"/>
            <w:tcMar>
              <w:top w:w="58" w:type="dxa"/>
              <w:left w:w="115" w:type="dxa"/>
              <w:bottom w:w="58" w:type="dxa"/>
              <w:right w:w="115" w:type="dxa"/>
            </w:tcMar>
          </w:tcPr>
          <w:p w:rsidR="00A52D2A" w:rsidRPr="00A52D2A" w:rsidRDefault="00A52D2A" w:rsidP="00A52D2A">
            <w:pPr>
              <w:widowControl/>
              <w:spacing w:after="0"/>
              <w:jc w:val="left"/>
              <w:rPr>
                <w:sz w:val="18"/>
                <w:szCs w:val="18"/>
              </w:rPr>
            </w:pPr>
            <w:r w:rsidRPr="00A52D2A">
              <w:rPr>
                <w:sz w:val="18"/>
                <w:szCs w:val="18"/>
              </w:rPr>
              <w:t>Thomas R. Wright</w:t>
            </w:r>
          </w:p>
          <w:p w:rsidR="00A52D2A" w:rsidRPr="00A52D2A" w:rsidRDefault="00A52D2A" w:rsidP="00A52D2A">
            <w:pPr>
              <w:widowControl/>
              <w:spacing w:after="0"/>
              <w:jc w:val="left"/>
              <w:rPr>
                <w:sz w:val="18"/>
                <w:szCs w:val="18"/>
              </w:rPr>
            </w:pPr>
            <w:r>
              <w:rPr>
                <w:sz w:val="18"/>
                <w:szCs w:val="18"/>
              </w:rPr>
              <w:t>STIP</w:t>
            </w:r>
          </w:p>
        </w:tc>
        <w:tc>
          <w:tcPr>
            <w:tcW w:w="870"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375,000</w:t>
            </w:r>
          </w:p>
        </w:tc>
        <w:tc>
          <w:tcPr>
            <w:tcW w:w="1341"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70%</w:t>
            </w:r>
          </w:p>
        </w:tc>
        <w:tc>
          <w:tcPr>
            <w:tcW w:w="1100"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50%</w:t>
            </w:r>
          </w:p>
        </w:tc>
        <w:tc>
          <w:tcPr>
            <w:tcW w:w="960" w:type="dxa"/>
            <w:shd w:val="clear" w:color="auto" w:fill="FFFFFF" w:themeFill="background1"/>
          </w:tcPr>
          <w:p w:rsidR="00A52D2A" w:rsidRPr="00A52D2A" w:rsidRDefault="00A52D2A" w:rsidP="00A52D2A">
            <w:pPr>
              <w:widowControl/>
              <w:spacing w:after="0"/>
              <w:jc w:val="center"/>
              <w:rPr>
                <w:sz w:val="18"/>
                <w:szCs w:val="18"/>
              </w:rPr>
            </w:pPr>
            <w:r>
              <w:rPr>
                <w:sz w:val="18"/>
                <w:szCs w:val="18"/>
              </w:rPr>
              <w:t>—</w:t>
            </w:r>
          </w:p>
        </w:tc>
        <w:tc>
          <w:tcPr>
            <w:tcW w:w="1230"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50%</w:t>
            </w:r>
          </w:p>
        </w:tc>
        <w:tc>
          <w:tcPr>
            <w:tcW w:w="840"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100%</w:t>
            </w:r>
          </w:p>
        </w:tc>
        <w:tc>
          <w:tcPr>
            <w:tcW w:w="1020" w:type="dxa"/>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w:t>
            </w:r>
          </w:p>
        </w:tc>
        <w:tc>
          <w:tcPr>
            <w:tcW w:w="1020" w:type="dxa"/>
            <w:shd w:val="clear" w:color="auto" w:fill="FFFFFF" w:themeFill="background1"/>
          </w:tcPr>
          <w:p w:rsidR="00A52D2A" w:rsidRPr="00A52D2A" w:rsidRDefault="00A52D2A" w:rsidP="00A52D2A">
            <w:pPr>
              <w:widowControl/>
              <w:spacing w:after="0"/>
              <w:jc w:val="center"/>
              <w:rPr>
                <w:sz w:val="18"/>
                <w:szCs w:val="18"/>
              </w:rPr>
            </w:pPr>
            <w:r w:rsidRPr="00A52D2A">
              <w:rPr>
                <w:sz w:val="18"/>
                <w:szCs w:val="18"/>
              </w:rPr>
              <w:t>—</w:t>
            </w:r>
          </w:p>
        </w:tc>
      </w:tr>
      <w:tr w:rsidR="00A52D2A" w:rsidRPr="00A52D2A" w:rsidTr="00A52D2A">
        <w:trPr>
          <w:jc w:val="center"/>
        </w:trPr>
        <w:tc>
          <w:tcPr>
            <w:tcW w:w="1635" w:type="dxa"/>
            <w:tcBorders>
              <w:bottom w:val="single" w:sz="4" w:space="0" w:color="auto"/>
            </w:tcBorders>
            <w:shd w:val="clear" w:color="auto" w:fill="FFFFFF" w:themeFill="background1"/>
            <w:tcMar>
              <w:top w:w="58" w:type="dxa"/>
              <w:left w:w="115" w:type="dxa"/>
              <w:bottom w:w="58" w:type="dxa"/>
              <w:right w:w="115" w:type="dxa"/>
            </w:tcMar>
          </w:tcPr>
          <w:p w:rsidR="00A52D2A" w:rsidRPr="00A52D2A" w:rsidRDefault="00A52D2A" w:rsidP="00A52D2A">
            <w:pPr>
              <w:widowControl/>
              <w:spacing w:after="0"/>
              <w:jc w:val="left"/>
              <w:rPr>
                <w:sz w:val="18"/>
                <w:szCs w:val="18"/>
              </w:rPr>
            </w:pPr>
            <w:r w:rsidRPr="00A52D2A">
              <w:rPr>
                <w:sz w:val="18"/>
                <w:szCs w:val="18"/>
              </w:rPr>
              <w:t>Thomas R. Wright</w:t>
            </w:r>
          </w:p>
          <w:p w:rsidR="00A52D2A" w:rsidRPr="00A52D2A" w:rsidRDefault="00A52D2A" w:rsidP="00A52D2A">
            <w:pPr>
              <w:widowControl/>
              <w:spacing w:after="0"/>
              <w:jc w:val="left"/>
              <w:rPr>
                <w:sz w:val="18"/>
                <w:szCs w:val="18"/>
              </w:rPr>
            </w:pPr>
            <w:r>
              <w:rPr>
                <w:sz w:val="18"/>
                <w:szCs w:val="18"/>
              </w:rPr>
              <w:t>LTIP</w:t>
            </w:r>
          </w:p>
        </w:tc>
        <w:tc>
          <w:tcPr>
            <w:tcW w:w="870"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375,000</w:t>
            </w:r>
          </w:p>
        </w:tc>
        <w:tc>
          <w:tcPr>
            <w:tcW w:w="1341"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100%</w:t>
            </w:r>
          </w:p>
        </w:tc>
        <w:tc>
          <w:tcPr>
            <w:tcW w:w="1100"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Pr>
                <w:sz w:val="18"/>
                <w:szCs w:val="18"/>
              </w:rPr>
              <w:t>—</w:t>
            </w:r>
          </w:p>
        </w:tc>
        <w:tc>
          <w:tcPr>
            <w:tcW w:w="960" w:type="dxa"/>
            <w:tcBorders>
              <w:bottom w:val="single" w:sz="4" w:space="0" w:color="auto"/>
            </w:tcBorders>
            <w:shd w:val="clear" w:color="auto" w:fill="FFFFFF" w:themeFill="background1"/>
          </w:tcPr>
          <w:p w:rsidR="00A52D2A" w:rsidRPr="00A52D2A" w:rsidRDefault="00A52D2A" w:rsidP="00A52D2A">
            <w:pPr>
              <w:widowControl/>
              <w:spacing w:after="0"/>
              <w:jc w:val="center"/>
              <w:rPr>
                <w:sz w:val="18"/>
                <w:szCs w:val="18"/>
              </w:rPr>
            </w:pPr>
            <w:r>
              <w:rPr>
                <w:sz w:val="18"/>
                <w:szCs w:val="18"/>
              </w:rPr>
              <w:t>50%</w:t>
            </w:r>
          </w:p>
        </w:tc>
        <w:tc>
          <w:tcPr>
            <w:tcW w:w="1230"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w:t>
            </w:r>
          </w:p>
        </w:tc>
        <w:tc>
          <w:tcPr>
            <w:tcW w:w="840"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w:t>
            </w:r>
          </w:p>
        </w:tc>
        <w:tc>
          <w:tcPr>
            <w:tcW w:w="1020" w:type="dxa"/>
            <w:tcBorders>
              <w:bottom w:val="single" w:sz="4" w:space="0" w:color="auto"/>
            </w:tcBorders>
            <w:shd w:val="clear" w:color="auto" w:fill="FFFFFF" w:themeFill="background1"/>
            <w:tcMar>
              <w:top w:w="58" w:type="dxa"/>
              <w:bottom w:w="58" w:type="dxa"/>
            </w:tcMar>
          </w:tcPr>
          <w:p w:rsidR="00A52D2A" w:rsidRPr="00A52D2A" w:rsidRDefault="00A52D2A" w:rsidP="00A52D2A">
            <w:pPr>
              <w:widowControl/>
              <w:spacing w:after="0"/>
              <w:jc w:val="center"/>
              <w:rPr>
                <w:sz w:val="18"/>
                <w:szCs w:val="18"/>
              </w:rPr>
            </w:pPr>
            <w:r w:rsidRPr="00A52D2A">
              <w:rPr>
                <w:sz w:val="18"/>
                <w:szCs w:val="18"/>
              </w:rPr>
              <w:t>50%</w:t>
            </w:r>
          </w:p>
        </w:tc>
        <w:tc>
          <w:tcPr>
            <w:tcW w:w="1020" w:type="dxa"/>
            <w:tcBorders>
              <w:bottom w:val="single" w:sz="4" w:space="0" w:color="auto"/>
            </w:tcBorders>
            <w:shd w:val="clear" w:color="auto" w:fill="FFFFFF" w:themeFill="background1"/>
          </w:tcPr>
          <w:p w:rsidR="00A52D2A" w:rsidRPr="00A52D2A" w:rsidRDefault="00A52D2A" w:rsidP="00A52D2A">
            <w:pPr>
              <w:widowControl/>
              <w:spacing w:after="0"/>
              <w:jc w:val="center"/>
              <w:rPr>
                <w:sz w:val="18"/>
                <w:szCs w:val="18"/>
              </w:rPr>
            </w:pPr>
            <w:r w:rsidRPr="00A52D2A">
              <w:rPr>
                <w:sz w:val="18"/>
                <w:szCs w:val="18"/>
              </w:rPr>
              <w:t>50%</w:t>
            </w:r>
          </w:p>
        </w:tc>
      </w:tr>
    </w:tbl>
    <w:p w:rsidR="00C2520E" w:rsidRDefault="004D1CCB" w:rsidP="00A52D2A">
      <w:pPr>
        <w:widowControl/>
        <w:tabs>
          <w:tab w:val="left" w:pos="900"/>
        </w:tabs>
        <w:spacing w:before="100" w:after="60"/>
        <w:ind w:left="892" w:hanging="446"/>
        <w:jc w:val="left"/>
        <w:rPr>
          <w:sz w:val="20"/>
        </w:rPr>
      </w:pPr>
      <w:r>
        <w:rPr>
          <w:sz w:val="20"/>
        </w:rPr>
        <w:t>(1)</w:t>
      </w:r>
      <w:r w:rsidR="007E7FF3">
        <w:rPr>
          <w:sz w:val="20"/>
        </w:rPr>
        <w:tab/>
      </w:r>
      <w:r w:rsidR="00A52D2A">
        <w:rPr>
          <w:sz w:val="20"/>
        </w:rPr>
        <w:t xml:space="preserve">Restricted stock and restricted stock units are </w:t>
      </w:r>
      <w:r w:rsidR="007E7FF3" w:rsidRPr="007E7FF3">
        <w:rPr>
          <w:sz w:val="20"/>
        </w:rPr>
        <w:t xml:space="preserve">calculated in dollars, but </w:t>
      </w:r>
      <w:r w:rsidR="00A52D2A">
        <w:rPr>
          <w:sz w:val="20"/>
        </w:rPr>
        <w:t xml:space="preserve">are </w:t>
      </w:r>
      <w:r w:rsidR="007E7FF3" w:rsidRPr="007E7FF3">
        <w:rPr>
          <w:sz w:val="20"/>
        </w:rPr>
        <w:t xml:space="preserve">paid in </w:t>
      </w:r>
      <w:r w:rsidR="006C3CCD">
        <w:rPr>
          <w:sz w:val="20"/>
        </w:rPr>
        <w:t xml:space="preserve">shares of </w:t>
      </w:r>
      <w:r w:rsidR="007E7FF3" w:rsidRPr="007E7FF3">
        <w:rPr>
          <w:sz w:val="20"/>
        </w:rPr>
        <w:t>restricted stock</w:t>
      </w:r>
      <w:r w:rsidR="00A52D2A">
        <w:rPr>
          <w:sz w:val="20"/>
        </w:rPr>
        <w:t xml:space="preserve"> or units</w:t>
      </w:r>
      <w:r w:rsidR="007E7FF3">
        <w:rPr>
          <w:sz w:val="20"/>
        </w:rPr>
        <w:t>.  The number of shares is</w:t>
      </w:r>
      <w:r w:rsidR="00C2520E">
        <w:rPr>
          <w:sz w:val="20"/>
        </w:rPr>
        <w:t xml:space="preserve"> computed using</w:t>
      </w:r>
      <w:r w:rsidR="007E7FF3">
        <w:rPr>
          <w:sz w:val="20"/>
        </w:rPr>
        <w:t xml:space="preserve"> the </w:t>
      </w:r>
      <w:r w:rsidR="007E7FF3" w:rsidRPr="00E92956">
        <w:rPr>
          <w:sz w:val="20"/>
        </w:rPr>
        <w:t xml:space="preserve">simple average of the daily closing prices of the Company's common stock in December </w:t>
      </w:r>
      <w:r w:rsidR="00AF01F1">
        <w:rPr>
          <w:sz w:val="20"/>
        </w:rPr>
        <w:t>201</w:t>
      </w:r>
      <w:r w:rsidR="00980D2A">
        <w:rPr>
          <w:sz w:val="20"/>
        </w:rPr>
        <w:t>4</w:t>
      </w:r>
      <w:r w:rsidR="006F74E9">
        <w:rPr>
          <w:sz w:val="20"/>
        </w:rPr>
        <w:t>,</w:t>
      </w:r>
      <w:r w:rsidR="00AF01F1">
        <w:rPr>
          <w:sz w:val="20"/>
        </w:rPr>
        <w:t xml:space="preserve"> </w:t>
      </w:r>
      <w:r w:rsidR="007E7FF3" w:rsidRPr="00FC569A">
        <w:rPr>
          <w:sz w:val="20"/>
        </w:rPr>
        <w:t>$</w:t>
      </w:r>
      <w:r w:rsidR="00E87A08">
        <w:rPr>
          <w:sz w:val="20"/>
        </w:rPr>
        <w:t>6.</w:t>
      </w:r>
      <w:r w:rsidR="00980D2A">
        <w:rPr>
          <w:sz w:val="20"/>
        </w:rPr>
        <w:t>296</w:t>
      </w:r>
      <w:r w:rsidR="007E7FF3">
        <w:rPr>
          <w:sz w:val="20"/>
        </w:rPr>
        <w:t xml:space="preserve"> per share</w:t>
      </w:r>
      <w:r w:rsidR="00623D8F">
        <w:rPr>
          <w:sz w:val="20"/>
        </w:rPr>
        <w:t xml:space="preserve"> as provided in the plan</w:t>
      </w:r>
      <w:r w:rsidR="007E7FF3">
        <w:rPr>
          <w:sz w:val="20"/>
        </w:rPr>
        <w:t xml:space="preserve">.  </w:t>
      </w:r>
    </w:p>
    <w:p w:rsidR="00DF3CC6" w:rsidRDefault="00C2520E" w:rsidP="00A52D2A">
      <w:pPr>
        <w:widowControl/>
        <w:tabs>
          <w:tab w:val="left" w:pos="900"/>
        </w:tabs>
        <w:spacing w:after="60"/>
        <w:ind w:left="892" w:hanging="446"/>
        <w:jc w:val="left"/>
        <w:rPr>
          <w:sz w:val="20"/>
        </w:rPr>
      </w:pPr>
      <w:r>
        <w:rPr>
          <w:sz w:val="20"/>
        </w:rPr>
        <w:lastRenderedPageBreak/>
        <w:tab/>
      </w:r>
      <w:r w:rsidR="00AD0038">
        <w:rPr>
          <w:sz w:val="20"/>
        </w:rPr>
        <w:t>T</w:t>
      </w:r>
      <w:r w:rsidR="00756F12" w:rsidRPr="007113FF">
        <w:rPr>
          <w:sz w:val="20"/>
        </w:rPr>
        <w:t xml:space="preserve">he </w:t>
      </w:r>
      <w:r w:rsidR="00AD0038">
        <w:rPr>
          <w:sz w:val="20"/>
        </w:rPr>
        <w:t xml:space="preserve">restrictions on the restricted stock lapse </w:t>
      </w:r>
      <w:r w:rsidR="00DF3CC6">
        <w:rPr>
          <w:sz w:val="20"/>
        </w:rPr>
        <w:t xml:space="preserve">on the third anniversary of the award date provided the employee remains with the Company or earlier </w:t>
      </w:r>
      <w:r w:rsidR="00AD0038">
        <w:rPr>
          <w:sz w:val="20"/>
        </w:rPr>
        <w:t xml:space="preserve">if the </w:t>
      </w:r>
      <w:r w:rsidR="00756F12" w:rsidRPr="007113FF">
        <w:rPr>
          <w:sz w:val="20"/>
        </w:rPr>
        <w:t xml:space="preserve">executive's employment </w:t>
      </w:r>
      <w:r w:rsidR="00AD0038">
        <w:rPr>
          <w:sz w:val="20"/>
        </w:rPr>
        <w:t xml:space="preserve">is </w:t>
      </w:r>
      <w:r w:rsidR="00756F12" w:rsidRPr="007113FF">
        <w:rPr>
          <w:sz w:val="20"/>
        </w:rPr>
        <w:t>terminated by the Company without cause</w:t>
      </w:r>
      <w:r w:rsidR="00756F12">
        <w:rPr>
          <w:sz w:val="20"/>
        </w:rPr>
        <w:t>, or upon a change in control of the Company.</w:t>
      </w:r>
      <w:r w:rsidR="00FA18E0">
        <w:rPr>
          <w:sz w:val="20"/>
        </w:rPr>
        <w:t xml:space="preserve">  </w:t>
      </w:r>
      <w:r w:rsidR="00DF3CC6">
        <w:rPr>
          <w:sz w:val="20"/>
        </w:rPr>
        <w:t xml:space="preserve">The restricted stock units vest if </w:t>
      </w:r>
      <w:r w:rsidR="007035B4">
        <w:rPr>
          <w:sz w:val="20"/>
        </w:rPr>
        <w:t xml:space="preserve">a goal based on </w:t>
      </w:r>
      <w:r w:rsidR="00DF3CC6">
        <w:rPr>
          <w:sz w:val="20"/>
        </w:rPr>
        <w:t xml:space="preserve">the Company's total shareholder return (TSR) compared to the TSR of a peer group of companies </w:t>
      </w:r>
      <w:r w:rsidR="007035B4">
        <w:rPr>
          <w:sz w:val="20"/>
        </w:rPr>
        <w:t>is met at the end of the three-year period of the plan</w:t>
      </w:r>
      <w:r w:rsidR="00DF3CC6">
        <w:rPr>
          <w:sz w:val="20"/>
        </w:rPr>
        <w:t>.</w:t>
      </w:r>
    </w:p>
    <w:p w:rsidR="007E7FF3" w:rsidRDefault="007035B4" w:rsidP="00A52D2A">
      <w:pPr>
        <w:widowControl/>
        <w:tabs>
          <w:tab w:val="left" w:pos="900"/>
        </w:tabs>
        <w:spacing w:after="60"/>
        <w:ind w:left="892" w:hanging="446"/>
        <w:jc w:val="left"/>
        <w:rPr>
          <w:sz w:val="20"/>
        </w:rPr>
      </w:pPr>
      <w:r>
        <w:rPr>
          <w:sz w:val="20"/>
        </w:rPr>
        <w:tab/>
      </w:r>
      <w:r w:rsidR="00AD0038">
        <w:rPr>
          <w:sz w:val="20"/>
        </w:rPr>
        <w:t xml:space="preserve">Mr. Wright left the Company in July 2015 and pursuant to </w:t>
      </w:r>
      <w:r w:rsidR="0084667D">
        <w:rPr>
          <w:sz w:val="20"/>
        </w:rPr>
        <w:t>his</w:t>
      </w:r>
      <w:r w:rsidR="00AD0038">
        <w:rPr>
          <w:sz w:val="20"/>
        </w:rPr>
        <w:t xml:space="preserve"> separation agreement, </w:t>
      </w:r>
      <w:r w:rsidR="0084667D">
        <w:rPr>
          <w:sz w:val="20"/>
        </w:rPr>
        <w:t>the lapse of restrictions on his</w:t>
      </w:r>
      <w:r w:rsidR="00B201B6">
        <w:rPr>
          <w:sz w:val="20"/>
        </w:rPr>
        <w:t xml:space="preserve"> then-outstanding</w:t>
      </w:r>
      <w:r w:rsidR="0084667D">
        <w:rPr>
          <w:sz w:val="20"/>
        </w:rPr>
        <w:t xml:space="preserve"> restricted stock was accelerated</w:t>
      </w:r>
      <w:r>
        <w:rPr>
          <w:sz w:val="20"/>
        </w:rPr>
        <w:t xml:space="preserve"> and his restricted stock units were forfeited</w:t>
      </w:r>
      <w:r w:rsidR="0084667D">
        <w:rPr>
          <w:sz w:val="20"/>
        </w:rPr>
        <w:t>.</w:t>
      </w:r>
    </w:p>
    <w:p w:rsidR="002E5A4A" w:rsidRDefault="00FC2F95" w:rsidP="00A52D2A">
      <w:pPr>
        <w:widowControl/>
        <w:tabs>
          <w:tab w:val="left" w:pos="900"/>
        </w:tabs>
        <w:spacing w:after="60"/>
        <w:ind w:left="892" w:hanging="446"/>
        <w:jc w:val="left"/>
        <w:rPr>
          <w:sz w:val="20"/>
        </w:rPr>
      </w:pPr>
      <w:r w:rsidRPr="00931DE3">
        <w:rPr>
          <w:sz w:val="20"/>
        </w:rPr>
        <w:tab/>
      </w:r>
      <w:r w:rsidR="002E5A4A">
        <w:rPr>
          <w:sz w:val="20"/>
        </w:rPr>
        <w:t xml:space="preserve">For </w:t>
      </w:r>
      <w:r w:rsidR="005C345C">
        <w:rPr>
          <w:sz w:val="20"/>
        </w:rPr>
        <w:t xml:space="preserve">the </w:t>
      </w:r>
      <w:r w:rsidR="002E5A4A">
        <w:rPr>
          <w:sz w:val="20"/>
        </w:rPr>
        <w:t xml:space="preserve">incentive compensation actually paid </w:t>
      </w:r>
      <w:r w:rsidR="005C345C">
        <w:rPr>
          <w:sz w:val="20"/>
        </w:rPr>
        <w:t xml:space="preserve">to the named executive officers </w:t>
      </w:r>
      <w:r w:rsidR="002E5A4A">
        <w:rPr>
          <w:sz w:val="20"/>
        </w:rPr>
        <w:t>for 201</w:t>
      </w:r>
      <w:r w:rsidR="00AD0038">
        <w:rPr>
          <w:sz w:val="20"/>
        </w:rPr>
        <w:t>5</w:t>
      </w:r>
      <w:r w:rsidR="002E5A4A">
        <w:rPr>
          <w:sz w:val="20"/>
        </w:rPr>
        <w:t xml:space="preserve">, see the </w:t>
      </w:r>
      <w:r w:rsidR="002E5A4A" w:rsidRPr="002E5A4A">
        <w:rPr>
          <w:i/>
          <w:sz w:val="20"/>
        </w:rPr>
        <w:t xml:space="preserve">Summary Compensation </w:t>
      </w:r>
      <w:r w:rsidR="002E5A4A">
        <w:rPr>
          <w:i/>
          <w:sz w:val="20"/>
        </w:rPr>
        <w:t>T</w:t>
      </w:r>
      <w:r w:rsidR="002E5A4A" w:rsidRPr="002E5A4A">
        <w:rPr>
          <w:i/>
          <w:sz w:val="20"/>
        </w:rPr>
        <w:t>able for 201</w:t>
      </w:r>
      <w:r w:rsidR="00AD0038">
        <w:rPr>
          <w:i/>
          <w:sz w:val="20"/>
        </w:rPr>
        <w:t>5</w:t>
      </w:r>
      <w:r w:rsidR="002E5A4A">
        <w:rPr>
          <w:sz w:val="20"/>
        </w:rPr>
        <w:t>, above.</w:t>
      </w:r>
    </w:p>
    <w:p w:rsidR="00C76681" w:rsidRPr="000A5F12" w:rsidRDefault="00C76681" w:rsidP="00A52D2A">
      <w:pPr>
        <w:widowControl/>
        <w:tabs>
          <w:tab w:val="left" w:pos="720"/>
        </w:tabs>
        <w:ind w:left="360"/>
        <w:jc w:val="left"/>
        <w:rPr>
          <w:sz w:val="20"/>
        </w:rPr>
      </w:pPr>
      <w:r>
        <w:rPr>
          <w:sz w:val="20"/>
        </w:rPr>
        <w:t>For a description of the executives</w:t>
      </w:r>
      <w:r w:rsidR="002E5A4A">
        <w:rPr>
          <w:sz w:val="20"/>
        </w:rPr>
        <w:t>'</w:t>
      </w:r>
      <w:r>
        <w:rPr>
          <w:sz w:val="20"/>
        </w:rPr>
        <w:t xml:space="preserve"> employment agreements, see the section</w:t>
      </w:r>
      <w:r w:rsidR="008D1856">
        <w:rPr>
          <w:sz w:val="20"/>
        </w:rPr>
        <w:t>s</w:t>
      </w:r>
      <w:r>
        <w:rPr>
          <w:sz w:val="20"/>
        </w:rPr>
        <w:t xml:space="preserve">, above, entitled </w:t>
      </w:r>
      <w:r w:rsidRPr="00CE335E">
        <w:rPr>
          <w:i/>
          <w:sz w:val="20"/>
        </w:rPr>
        <w:t>Employment Agreements of the Named Executive Officers</w:t>
      </w:r>
      <w:r w:rsidR="008D1856">
        <w:rPr>
          <w:i/>
          <w:sz w:val="20"/>
        </w:rPr>
        <w:t xml:space="preserve"> </w:t>
      </w:r>
      <w:r w:rsidR="008D1856" w:rsidRPr="008D1856">
        <w:rPr>
          <w:sz w:val="20"/>
        </w:rPr>
        <w:t>and</w:t>
      </w:r>
      <w:r w:rsidR="008D1856">
        <w:rPr>
          <w:i/>
          <w:sz w:val="20"/>
        </w:rPr>
        <w:t xml:space="preserve"> </w:t>
      </w:r>
      <w:r w:rsidR="008D1856" w:rsidRPr="008D1856">
        <w:rPr>
          <w:i/>
          <w:sz w:val="20"/>
        </w:rPr>
        <w:t>Potential Payments upon Termination or Change-in-Control</w:t>
      </w:r>
      <w:r>
        <w:rPr>
          <w:sz w:val="20"/>
        </w:rPr>
        <w:t xml:space="preserve">.  </w:t>
      </w:r>
    </w:p>
    <w:p w:rsidR="003E6939" w:rsidRDefault="002A2A0E" w:rsidP="00A52D2A">
      <w:pPr>
        <w:widowControl/>
        <w:jc w:val="left"/>
      </w:pPr>
      <w:bookmarkStart w:id="108" w:name="_Toc381354154"/>
      <w:bookmarkStart w:id="109" w:name="_Toc445739597"/>
      <w:r w:rsidRPr="00C12BAD">
        <w:rPr>
          <w:rStyle w:val="003ProxyChar"/>
        </w:rPr>
        <w:t>Option Exercises and Stock Vested for 201</w:t>
      </w:r>
      <w:bookmarkEnd w:id="108"/>
      <w:r w:rsidR="00B201B6">
        <w:rPr>
          <w:rStyle w:val="003ProxyChar"/>
        </w:rPr>
        <w:t>5</w:t>
      </w:r>
      <w:bookmarkEnd w:id="109"/>
      <w:r w:rsidRPr="002A2A0E">
        <w:t xml:space="preserve">.  </w:t>
      </w:r>
      <w:r w:rsidR="00282E7B">
        <w:t xml:space="preserve">The following table shows </w:t>
      </w:r>
      <w:r w:rsidR="00282E7B" w:rsidRPr="00282E7B">
        <w:t xml:space="preserve">information </w:t>
      </w:r>
      <w:r w:rsidR="00B201B6">
        <w:t xml:space="preserve">for each named executive officer </w:t>
      </w:r>
      <w:r w:rsidR="00E1566E">
        <w:t xml:space="preserve">holding </w:t>
      </w:r>
      <w:r w:rsidR="00282E7B" w:rsidRPr="00282E7B">
        <w:t>restricted stock</w:t>
      </w:r>
      <w:r w:rsidR="00A32741">
        <w:t xml:space="preserve"> or restricted stock units </w:t>
      </w:r>
      <w:r w:rsidR="00B201B6">
        <w:t xml:space="preserve">that vested </w:t>
      </w:r>
      <w:r w:rsidR="00282E7B" w:rsidRPr="00282E7B">
        <w:t xml:space="preserve">during </w:t>
      </w:r>
      <w:r w:rsidR="00282E7B">
        <w:t>201</w:t>
      </w:r>
      <w:r w:rsidR="00B201B6">
        <w:t>5</w:t>
      </w:r>
      <w:r w:rsidR="00E1566E">
        <w:t xml:space="preserve">, computed </w:t>
      </w:r>
      <w:r w:rsidR="00282E7B" w:rsidRPr="00282E7B">
        <w:t>on an aggregated basis</w:t>
      </w:r>
      <w:r w:rsidR="00282E7B">
        <w:t xml:space="preserve">. </w:t>
      </w:r>
      <w:r w:rsidR="00282E7B" w:rsidRPr="00282E7B">
        <w:t xml:space="preserve"> </w:t>
      </w:r>
      <w:r w:rsidR="00E1566E">
        <w:t>No named executive officer</w:t>
      </w:r>
      <w:r w:rsidR="00FB158A">
        <w:t xml:space="preserve"> held </w:t>
      </w:r>
      <w:r w:rsidR="00FB158A" w:rsidRPr="00FB158A">
        <w:t>stock options</w:t>
      </w:r>
      <w:r w:rsidR="00A32741">
        <w:t xml:space="preserve"> or</w:t>
      </w:r>
      <w:r w:rsidR="00E1566E">
        <w:t xml:space="preserve"> </w:t>
      </w:r>
      <w:r w:rsidR="00FB158A" w:rsidRPr="00FB158A">
        <w:t>SAR</w:t>
      </w:r>
      <w:r w:rsidR="00FB158A">
        <w:t xml:space="preserve">'s.  </w:t>
      </w:r>
    </w:p>
    <w:tbl>
      <w:tblPr>
        <w:tblStyle w:val="TableGrid"/>
        <w:tblW w:w="5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1679"/>
        <w:gridCol w:w="1663"/>
      </w:tblGrid>
      <w:tr w:rsidR="008448D9" w:rsidRPr="002145DD" w:rsidTr="00964C9E">
        <w:trPr>
          <w:tblHeader/>
        </w:trPr>
        <w:tc>
          <w:tcPr>
            <w:tcW w:w="2066" w:type="dxa"/>
            <w:tcMar>
              <w:top w:w="58" w:type="dxa"/>
              <w:left w:w="115" w:type="dxa"/>
              <w:bottom w:w="0" w:type="dxa"/>
              <w:right w:w="115" w:type="dxa"/>
            </w:tcMar>
            <w:vAlign w:val="bottom"/>
          </w:tcPr>
          <w:p w:rsidR="008448D9" w:rsidRPr="002145DD" w:rsidRDefault="008448D9" w:rsidP="00A52D2A">
            <w:pPr>
              <w:widowControl/>
              <w:spacing w:after="0"/>
              <w:jc w:val="center"/>
              <w:rPr>
                <w:b/>
                <w:sz w:val="22"/>
                <w:szCs w:val="22"/>
              </w:rPr>
            </w:pPr>
          </w:p>
        </w:tc>
        <w:tc>
          <w:tcPr>
            <w:tcW w:w="3342" w:type="dxa"/>
            <w:gridSpan w:val="2"/>
            <w:tcBorders>
              <w:bottom w:val="single" w:sz="4" w:space="0" w:color="auto"/>
            </w:tcBorders>
            <w:tcMar>
              <w:top w:w="58" w:type="dxa"/>
              <w:left w:w="115" w:type="dxa"/>
              <w:bottom w:w="0" w:type="dxa"/>
              <w:right w:w="115" w:type="dxa"/>
            </w:tcMar>
            <w:vAlign w:val="bottom"/>
          </w:tcPr>
          <w:p w:rsidR="008448D9" w:rsidRPr="002145DD" w:rsidRDefault="008448D9" w:rsidP="00A52D2A">
            <w:pPr>
              <w:widowControl/>
              <w:spacing w:after="0"/>
              <w:jc w:val="center"/>
              <w:rPr>
                <w:b/>
                <w:sz w:val="22"/>
                <w:szCs w:val="22"/>
              </w:rPr>
            </w:pPr>
            <w:r w:rsidRPr="002145DD">
              <w:rPr>
                <w:b/>
                <w:sz w:val="22"/>
                <w:szCs w:val="22"/>
              </w:rPr>
              <w:t>Stock Awards</w:t>
            </w:r>
          </w:p>
        </w:tc>
      </w:tr>
      <w:tr w:rsidR="008448D9" w:rsidRPr="002145DD" w:rsidTr="00964C9E">
        <w:trPr>
          <w:tblHeader/>
        </w:trPr>
        <w:tc>
          <w:tcPr>
            <w:tcW w:w="2066" w:type="dxa"/>
            <w:tcMar>
              <w:top w:w="58" w:type="dxa"/>
              <w:left w:w="115" w:type="dxa"/>
              <w:bottom w:w="0" w:type="dxa"/>
              <w:right w:w="115" w:type="dxa"/>
            </w:tcMar>
            <w:vAlign w:val="bottom"/>
          </w:tcPr>
          <w:p w:rsidR="008448D9" w:rsidRPr="002145DD" w:rsidRDefault="008448D9" w:rsidP="00075F08">
            <w:pPr>
              <w:keepNext/>
              <w:widowControl/>
              <w:spacing w:after="0"/>
              <w:jc w:val="center"/>
              <w:rPr>
                <w:b/>
                <w:sz w:val="22"/>
                <w:szCs w:val="22"/>
              </w:rPr>
            </w:pPr>
            <w:r w:rsidRPr="002145DD">
              <w:rPr>
                <w:b/>
                <w:sz w:val="22"/>
                <w:szCs w:val="22"/>
              </w:rPr>
              <w:t>Name</w:t>
            </w:r>
          </w:p>
        </w:tc>
        <w:tc>
          <w:tcPr>
            <w:tcW w:w="1679" w:type="dxa"/>
            <w:tcBorders>
              <w:top w:val="single" w:sz="4" w:space="0" w:color="auto"/>
            </w:tcBorders>
            <w:tcMar>
              <w:top w:w="58" w:type="dxa"/>
              <w:left w:w="115" w:type="dxa"/>
              <w:bottom w:w="0" w:type="dxa"/>
              <w:right w:w="115" w:type="dxa"/>
            </w:tcMar>
            <w:vAlign w:val="bottom"/>
          </w:tcPr>
          <w:p w:rsidR="008448D9" w:rsidRPr="002145DD" w:rsidRDefault="008448D9" w:rsidP="00075F08">
            <w:pPr>
              <w:keepNext/>
              <w:widowControl/>
              <w:spacing w:after="0"/>
              <w:jc w:val="center"/>
              <w:rPr>
                <w:b/>
                <w:sz w:val="22"/>
                <w:szCs w:val="22"/>
              </w:rPr>
            </w:pPr>
            <w:r w:rsidRPr="002145DD">
              <w:rPr>
                <w:b/>
                <w:sz w:val="22"/>
                <w:szCs w:val="22"/>
              </w:rPr>
              <w:t>Number of Shares</w:t>
            </w:r>
            <w:r w:rsidR="00910267" w:rsidRPr="002145DD">
              <w:rPr>
                <w:b/>
                <w:sz w:val="22"/>
                <w:szCs w:val="22"/>
              </w:rPr>
              <w:t xml:space="preserve"> </w:t>
            </w:r>
            <w:r w:rsidRPr="002145DD">
              <w:rPr>
                <w:b/>
                <w:sz w:val="22"/>
                <w:szCs w:val="22"/>
              </w:rPr>
              <w:t>Acquired on</w:t>
            </w:r>
            <w:r w:rsidR="00910267" w:rsidRPr="002145DD">
              <w:rPr>
                <w:b/>
                <w:sz w:val="22"/>
                <w:szCs w:val="22"/>
              </w:rPr>
              <w:t xml:space="preserve"> </w:t>
            </w:r>
            <w:r w:rsidRPr="002145DD">
              <w:rPr>
                <w:b/>
                <w:sz w:val="22"/>
                <w:szCs w:val="22"/>
              </w:rPr>
              <w:t>Vesting</w:t>
            </w:r>
          </w:p>
          <w:p w:rsidR="008448D9" w:rsidRPr="002145DD" w:rsidRDefault="008448D9" w:rsidP="00075F08">
            <w:pPr>
              <w:keepNext/>
              <w:widowControl/>
              <w:spacing w:after="0"/>
              <w:jc w:val="center"/>
              <w:rPr>
                <w:b/>
                <w:sz w:val="22"/>
                <w:szCs w:val="22"/>
              </w:rPr>
            </w:pPr>
            <w:r w:rsidRPr="002145DD">
              <w:rPr>
                <w:b/>
                <w:sz w:val="22"/>
                <w:szCs w:val="22"/>
              </w:rPr>
              <w:t>(#)</w:t>
            </w:r>
          </w:p>
        </w:tc>
        <w:tc>
          <w:tcPr>
            <w:tcW w:w="1663" w:type="dxa"/>
            <w:tcBorders>
              <w:top w:val="single" w:sz="4" w:space="0" w:color="auto"/>
            </w:tcBorders>
            <w:tcMar>
              <w:top w:w="58" w:type="dxa"/>
              <w:left w:w="115" w:type="dxa"/>
              <w:bottom w:w="0" w:type="dxa"/>
              <w:right w:w="115" w:type="dxa"/>
            </w:tcMar>
            <w:vAlign w:val="bottom"/>
          </w:tcPr>
          <w:p w:rsidR="008448D9" w:rsidRPr="002145DD" w:rsidRDefault="009B0431" w:rsidP="00075F08">
            <w:pPr>
              <w:keepNext/>
              <w:widowControl/>
              <w:spacing w:after="0"/>
              <w:jc w:val="center"/>
              <w:rPr>
                <w:b/>
                <w:sz w:val="22"/>
                <w:szCs w:val="22"/>
              </w:rPr>
            </w:pPr>
            <w:r w:rsidRPr="002145DD">
              <w:rPr>
                <w:b/>
                <w:sz w:val="22"/>
                <w:szCs w:val="22"/>
              </w:rPr>
              <w:t xml:space="preserve">Aggregate Dollar </w:t>
            </w:r>
            <w:r w:rsidR="008448D9" w:rsidRPr="002145DD">
              <w:rPr>
                <w:b/>
                <w:sz w:val="22"/>
                <w:szCs w:val="22"/>
              </w:rPr>
              <w:t>Value Realized</w:t>
            </w:r>
          </w:p>
          <w:p w:rsidR="008448D9" w:rsidRPr="002145DD" w:rsidRDefault="008448D9" w:rsidP="00075F08">
            <w:pPr>
              <w:keepNext/>
              <w:widowControl/>
              <w:spacing w:after="0"/>
              <w:jc w:val="center"/>
              <w:rPr>
                <w:b/>
                <w:sz w:val="22"/>
                <w:szCs w:val="22"/>
              </w:rPr>
            </w:pPr>
            <w:r w:rsidRPr="002145DD">
              <w:rPr>
                <w:b/>
                <w:sz w:val="22"/>
                <w:szCs w:val="22"/>
              </w:rPr>
              <w:t>on Vesting</w:t>
            </w:r>
            <w:r w:rsidRPr="002145DD">
              <w:rPr>
                <w:b/>
                <w:sz w:val="22"/>
                <w:szCs w:val="22"/>
                <w:vertAlign w:val="superscript"/>
              </w:rPr>
              <w:t xml:space="preserve"> (</w:t>
            </w:r>
            <w:r w:rsidR="00E475AB">
              <w:rPr>
                <w:b/>
                <w:sz w:val="22"/>
                <w:szCs w:val="22"/>
                <w:vertAlign w:val="superscript"/>
              </w:rPr>
              <w:t>1</w:t>
            </w:r>
            <w:r w:rsidRPr="002145DD">
              <w:rPr>
                <w:b/>
                <w:sz w:val="22"/>
                <w:szCs w:val="22"/>
                <w:vertAlign w:val="superscript"/>
              </w:rPr>
              <w:t>)</w:t>
            </w:r>
          </w:p>
          <w:p w:rsidR="008448D9" w:rsidRPr="002145DD" w:rsidRDefault="008448D9" w:rsidP="00075F08">
            <w:pPr>
              <w:keepNext/>
              <w:widowControl/>
              <w:spacing w:after="0"/>
              <w:jc w:val="center"/>
              <w:rPr>
                <w:b/>
                <w:sz w:val="22"/>
                <w:szCs w:val="22"/>
              </w:rPr>
            </w:pPr>
            <w:r w:rsidRPr="002145DD">
              <w:rPr>
                <w:b/>
                <w:sz w:val="22"/>
                <w:szCs w:val="22"/>
              </w:rPr>
              <w:t>($)</w:t>
            </w:r>
          </w:p>
        </w:tc>
      </w:tr>
      <w:tr w:rsidR="00AD03CB" w:rsidRPr="002145DD" w:rsidTr="00964C9E">
        <w:tc>
          <w:tcPr>
            <w:tcW w:w="2066" w:type="dxa"/>
            <w:tcBorders>
              <w:top w:val="single" w:sz="4" w:space="0" w:color="auto"/>
            </w:tcBorders>
            <w:shd w:val="clear" w:color="auto" w:fill="FFFFFF" w:themeFill="background1"/>
            <w:tcMar>
              <w:top w:w="58" w:type="dxa"/>
              <w:left w:w="115" w:type="dxa"/>
              <w:bottom w:w="58" w:type="dxa"/>
              <w:right w:w="115" w:type="dxa"/>
            </w:tcMar>
            <w:vAlign w:val="center"/>
          </w:tcPr>
          <w:p w:rsidR="00AD03CB" w:rsidRPr="002145DD" w:rsidRDefault="00AD03CB" w:rsidP="00075F08">
            <w:pPr>
              <w:widowControl/>
              <w:spacing w:after="0"/>
              <w:jc w:val="left"/>
              <w:rPr>
                <w:sz w:val="22"/>
                <w:szCs w:val="22"/>
              </w:rPr>
            </w:pPr>
            <w:r>
              <w:rPr>
                <w:sz w:val="22"/>
                <w:szCs w:val="22"/>
              </w:rPr>
              <w:t>Paul J. Varello</w:t>
            </w:r>
          </w:p>
        </w:tc>
        <w:tc>
          <w:tcPr>
            <w:tcW w:w="1679" w:type="dxa"/>
            <w:tcBorders>
              <w:top w:val="single" w:sz="4" w:space="0" w:color="auto"/>
            </w:tcBorders>
            <w:shd w:val="clear" w:color="auto" w:fill="FFFFFF" w:themeFill="background1"/>
            <w:tcMar>
              <w:top w:w="58" w:type="dxa"/>
              <w:left w:w="115" w:type="dxa"/>
              <w:bottom w:w="58" w:type="dxa"/>
              <w:right w:w="115" w:type="dxa"/>
            </w:tcMar>
            <w:vAlign w:val="center"/>
          </w:tcPr>
          <w:p w:rsidR="00AD03CB" w:rsidRPr="002145DD" w:rsidRDefault="00AD03CB" w:rsidP="00075F08">
            <w:pPr>
              <w:widowControl/>
              <w:spacing w:after="0"/>
              <w:jc w:val="center"/>
              <w:rPr>
                <w:sz w:val="22"/>
                <w:szCs w:val="22"/>
              </w:rPr>
            </w:pPr>
            <w:r>
              <w:rPr>
                <w:sz w:val="22"/>
                <w:szCs w:val="22"/>
              </w:rPr>
              <w:t>6,203</w:t>
            </w:r>
            <w:r w:rsidR="00E475AB">
              <w:rPr>
                <w:sz w:val="22"/>
                <w:szCs w:val="22"/>
                <w:vertAlign w:val="superscript"/>
              </w:rPr>
              <w:t>(2</w:t>
            </w:r>
            <w:r w:rsidRPr="00AD03CB">
              <w:rPr>
                <w:sz w:val="22"/>
                <w:szCs w:val="22"/>
                <w:vertAlign w:val="superscript"/>
              </w:rPr>
              <w:t>)</w:t>
            </w:r>
          </w:p>
        </w:tc>
        <w:tc>
          <w:tcPr>
            <w:tcW w:w="1663" w:type="dxa"/>
            <w:tcBorders>
              <w:top w:val="single" w:sz="4" w:space="0" w:color="auto"/>
            </w:tcBorders>
            <w:shd w:val="clear" w:color="auto" w:fill="FFFFFF" w:themeFill="background1"/>
            <w:tcMar>
              <w:top w:w="58" w:type="dxa"/>
              <w:left w:w="115" w:type="dxa"/>
              <w:bottom w:w="58" w:type="dxa"/>
              <w:right w:w="115" w:type="dxa"/>
            </w:tcMar>
            <w:vAlign w:val="center"/>
          </w:tcPr>
          <w:p w:rsidR="00AD03CB" w:rsidRPr="002145DD" w:rsidRDefault="00AD03CB" w:rsidP="00075F08">
            <w:pPr>
              <w:widowControl/>
              <w:spacing w:after="0"/>
              <w:jc w:val="center"/>
              <w:rPr>
                <w:sz w:val="22"/>
                <w:szCs w:val="22"/>
              </w:rPr>
            </w:pPr>
            <w:r>
              <w:rPr>
                <w:sz w:val="22"/>
                <w:szCs w:val="22"/>
              </w:rPr>
              <w:t>25,122</w:t>
            </w:r>
          </w:p>
        </w:tc>
      </w:tr>
      <w:tr w:rsidR="008448D9" w:rsidRPr="002145DD" w:rsidTr="00964C9E">
        <w:tc>
          <w:tcPr>
            <w:tcW w:w="2066" w:type="dxa"/>
            <w:shd w:val="clear" w:color="auto" w:fill="FFFFFF" w:themeFill="background1"/>
            <w:tcMar>
              <w:top w:w="58" w:type="dxa"/>
              <w:left w:w="115" w:type="dxa"/>
              <w:bottom w:w="58" w:type="dxa"/>
              <w:right w:w="115" w:type="dxa"/>
            </w:tcMar>
            <w:vAlign w:val="center"/>
          </w:tcPr>
          <w:p w:rsidR="008448D9" w:rsidRPr="002145DD" w:rsidRDefault="008448D9" w:rsidP="00075F08">
            <w:pPr>
              <w:widowControl/>
              <w:spacing w:after="0"/>
              <w:jc w:val="left"/>
              <w:rPr>
                <w:sz w:val="22"/>
                <w:szCs w:val="22"/>
              </w:rPr>
            </w:pPr>
            <w:r w:rsidRPr="002145DD">
              <w:rPr>
                <w:sz w:val="22"/>
                <w:szCs w:val="22"/>
              </w:rPr>
              <w:t>Peter E. MacKenna</w:t>
            </w:r>
          </w:p>
        </w:tc>
        <w:tc>
          <w:tcPr>
            <w:tcW w:w="1679" w:type="dxa"/>
            <w:shd w:val="clear" w:color="auto" w:fill="FFFFFF" w:themeFill="background1"/>
            <w:tcMar>
              <w:top w:w="58" w:type="dxa"/>
              <w:left w:w="115" w:type="dxa"/>
              <w:bottom w:w="58" w:type="dxa"/>
              <w:right w:w="115" w:type="dxa"/>
            </w:tcMar>
            <w:vAlign w:val="center"/>
          </w:tcPr>
          <w:p w:rsidR="008448D9" w:rsidRPr="002145DD" w:rsidRDefault="001662CC" w:rsidP="00075F08">
            <w:pPr>
              <w:widowControl/>
              <w:spacing w:after="0"/>
              <w:jc w:val="center"/>
              <w:rPr>
                <w:sz w:val="22"/>
                <w:szCs w:val="22"/>
              </w:rPr>
            </w:pPr>
            <w:r w:rsidRPr="002145DD">
              <w:rPr>
                <w:sz w:val="22"/>
                <w:szCs w:val="22"/>
              </w:rPr>
              <w:t>178,408</w:t>
            </w:r>
          </w:p>
        </w:tc>
        <w:tc>
          <w:tcPr>
            <w:tcW w:w="1663" w:type="dxa"/>
            <w:shd w:val="clear" w:color="auto" w:fill="FFFFFF" w:themeFill="background1"/>
            <w:tcMar>
              <w:top w:w="58" w:type="dxa"/>
              <w:left w:w="115" w:type="dxa"/>
              <w:bottom w:w="58" w:type="dxa"/>
              <w:right w:w="115" w:type="dxa"/>
            </w:tcMar>
            <w:vAlign w:val="center"/>
          </w:tcPr>
          <w:p w:rsidR="008448D9" w:rsidRPr="002145DD" w:rsidRDefault="00E1566E" w:rsidP="00075F08">
            <w:pPr>
              <w:widowControl/>
              <w:spacing w:after="0"/>
              <w:jc w:val="center"/>
              <w:rPr>
                <w:sz w:val="22"/>
                <w:szCs w:val="22"/>
              </w:rPr>
            </w:pPr>
            <w:r w:rsidRPr="002145DD">
              <w:rPr>
                <w:sz w:val="22"/>
                <w:szCs w:val="22"/>
              </w:rPr>
              <w:t>619,076</w:t>
            </w:r>
          </w:p>
        </w:tc>
      </w:tr>
      <w:tr w:rsidR="008448D9" w:rsidRPr="002145DD" w:rsidTr="00964C9E">
        <w:tc>
          <w:tcPr>
            <w:tcW w:w="2066" w:type="dxa"/>
            <w:tcBorders>
              <w:bottom w:val="single" w:sz="4" w:space="0" w:color="auto"/>
            </w:tcBorders>
            <w:tcMar>
              <w:top w:w="58" w:type="dxa"/>
              <w:left w:w="115" w:type="dxa"/>
              <w:bottom w:w="58" w:type="dxa"/>
              <w:right w:w="115" w:type="dxa"/>
            </w:tcMar>
            <w:vAlign w:val="center"/>
          </w:tcPr>
          <w:p w:rsidR="008448D9" w:rsidRPr="002145DD" w:rsidRDefault="008448D9" w:rsidP="00835E9F">
            <w:pPr>
              <w:widowControl/>
              <w:spacing w:after="0"/>
              <w:jc w:val="left"/>
              <w:rPr>
                <w:sz w:val="22"/>
                <w:szCs w:val="22"/>
              </w:rPr>
            </w:pPr>
            <w:r w:rsidRPr="002145DD">
              <w:rPr>
                <w:sz w:val="22"/>
                <w:szCs w:val="22"/>
              </w:rPr>
              <w:t>Thomas R. Wright</w:t>
            </w:r>
          </w:p>
        </w:tc>
        <w:tc>
          <w:tcPr>
            <w:tcW w:w="1679" w:type="dxa"/>
            <w:tcBorders>
              <w:bottom w:val="single" w:sz="4" w:space="0" w:color="auto"/>
            </w:tcBorders>
            <w:tcMar>
              <w:top w:w="58" w:type="dxa"/>
              <w:left w:w="115" w:type="dxa"/>
              <w:bottom w:w="58" w:type="dxa"/>
              <w:right w:w="115" w:type="dxa"/>
            </w:tcMar>
            <w:vAlign w:val="center"/>
          </w:tcPr>
          <w:p w:rsidR="008448D9" w:rsidRPr="002145DD" w:rsidRDefault="00B47080" w:rsidP="00835E9F">
            <w:pPr>
              <w:widowControl/>
              <w:spacing w:after="0"/>
              <w:jc w:val="center"/>
              <w:rPr>
                <w:sz w:val="22"/>
                <w:szCs w:val="22"/>
              </w:rPr>
            </w:pPr>
            <w:r>
              <w:rPr>
                <w:sz w:val="22"/>
                <w:szCs w:val="22"/>
              </w:rPr>
              <w:t>55,52</w:t>
            </w:r>
            <w:r w:rsidR="00CE6310" w:rsidRPr="002145DD">
              <w:rPr>
                <w:sz w:val="22"/>
                <w:szCs w:val="22"/>
              </w:rPr>
              <w:t>6</w:t>
            </w:r>
          </w:p>
        </w:tc>
        <w:tc>
          <w:tcPr>
            <w:tcW w:w="1663" w:type="dxa"/>
            <w:tcBorders>
              <w:bottom w:val="single" w:sz="4" w:space="0" w:color="auto"/>
            </w:tcBorders>
            <w:tcMar>
              <w:top w:w="58" w:type="dxa"/>
              <w:left w:w="115" w:type="dxa"/>
              <w:bottom w:w="58" w:type="dxa"/>
              <w:right w:w="115" w:type="dxa"/>
            </w:tcMar>
            <w:vAlign w:val="center"/>
          </w:tcPr>
          <w:p w:rsidR="008448D9" w:rsidRPr="002145DD" w:rsidRDefault="00E1566E" w:rsidP="00835E9F">
            <w:pPr>
              <w:widowControl/>
              <w:spacing w:after="0"/>
              <w:jc w:val="center"/>
              <w:rPr>
                <w:sz w:val="22"/>
                <w:szCs w:val="22"/>
              </w:rPr>
            </w:pPr>
            <w:r w:rsidRPr="002145DD">
              <w:rPr>
                <w:sz w:val="22"/>
                <w:szCs w:val="22"/>
              </w:rPr>
              <w:t>230,</w:t>
            </w:r>
            <w:r w:rsidR="00B47080">
              <w:rPr>
                <w:sz w:val="22"/>
                <w:szCs w:val="22"/>
              </w:rPr>
              <w:t>433</w:t>
            </w:r>
          </w:p>
        </w:tc>
      </w:tr>
    </w:tbl>
    <w:p w:rsidR="00E475AB" w:rsidRDefault="00E475AB" w:rsidP="00964C9E">
      <w:pPr>
        <w:pStyle w:val="ListParagraph"/>
        <w:widowControl/>
        <w:tabs>
          <w:tab w:val="left" w:pos="360"/>
        </w:tabs>
        <w:spacing w:before="100"/>
        <w:ind w:left="360" w:right="1350" w:hanging="450"/>
        <w:contextualSpacing w:val="0"/>
        <w:jc w:val="left"/>
        <w:rPr>
          <w:sz w:val="20"/>
        </w:rPr>
      </w:pPr>
      <w:r>
        <w:rPr>
          <w:sz w:val="20"/>
        </w:rPr>
        <w:t>(1)</w:t>
      </w:r>
      <w:r>
        <w:rPr>
          <w:sz w:val="20"/>
        </w:rPr>
        <w:tab/>
        <w:t xml:space="preserve">This value is based on the closing price of the Company's common stock on the date the shares vested.  </w:t>
      </w:r>
    </w:p>
    <w:p w:rsidR="003979DE" w:rsidRPr="00431162" w:rsidRDefault="00E475AB" w:rsidP="00964C9E">
      <w:pPr>
        <w:pStyle w:val="ListParagraph"/>
        <w:widowControl/>
        <w:tabs>
          <w:tab w:val="left" w:pos="360"/>
        </w:tabs>
        <w:ind w:left="360" w:right="1354" w:hanging="450"/>
        <w:contextualSpacing w:val="0"/>
        <w:jc w:val="left"/>
        <w:rPr>
          <w:sz w:val="20"/>
        </w:rPr>
      </w:pPr>
      <w:r>
        <w:rPr>
          <w:sz w:val="20"/>
        </w:rPr>
        <w:t>(2)</w:t>
      </w:r>
      <w:r>
        <w:rPr>
          <w:sz w:val="20"/>
        </w:rPr>
        <w:tab/>
      </w:r>
      <w:r w:rsidR="00AD03CB">
        <w:rPr>
          <w:sz w:val="20"/>
        </w:rPr>
        <w:t xml:space="preserve">These shares of restricted stock were issued to Mr. Varello </w:t>
      </w:r>
      <w:r w:rsidR="00190C11">
        <w:rPr>
          <w:sz w:val="20"/>
        </w:rPr>
        <w:t>o</w:t>
      </w:r>
      <w:r w:rsidR="00AD03CB">
        <w:rPr>
          <w:sz w:val="20"/>
        </w:rPr>
        <w:t xml:space="preserve">n May </w:t>
      </w:r>
      <w:r w:rsidR="00190C11">
        <w:rPr>
          <w:sz w:val="20"/>
        </w:rPr>
        <w:t xml:space="preserve">9, </w:t>
      </w:r>
      <w:r w:rsidR="00AD03CB">
        <w:rPr>
          <w:sz w:val="20"/>
        </w:rPr>
        <w:t xml:space="preserve">2014 </w:t>
      </w:r>
      <w:r>
        <w:rPr>
          <w:sz w:val="20"/>
        </w:rPr>
        <w:t xml:space="preserve">when </w:t>
      </w:r>
      <w:r w:rsidR="00C37A91">
        <w:rPr>
          <w:sz w:val="20"/>
        </w:rPr>
        <w:t>he was a non-</w:t>
      </w:r>
      <w:r w:rsidR="00AD03CB">
        <w:rPr>
          <w:sz w:val="20"/>
        </w:rPr>
        <w:t xml:space="preserve">employee </w:t>
      </w:r>
      <w:r w:rsidR="00C37A91">
        <w:rPr>
          <w:sz w:val="20"/>
        </w:rPr>
        <w:t xml:space="preserve">director </w:t>
      </w:r>
      <w:r w:rsidR="00AD03CB">
        <w:rPr>
          <w:sz w:val="20"/>
        </w:rPr>
        <w:t>of the Company</w:t>
      </w:r>
      <w:r w:rsidR="00503F8F">
        <w:rPr>
          <w:sz w:val="20"/>
        </w:rPr>
        <w:t xml:space="preserve"> pursuant to</w:t>
      </w:r>
      <w:r>
        <w:rPr>
          <w:sz w:val="20"/>
        </w:rPr>
        <w:t xml:space="preserve"> </w:t>
      </w:r>
      <w:r w:rsidR="00360CD6">
        <w:rPr>
          <w:sz w:val="20"/>
        </w:rPr>
        <w:t xml:space="preserve">the </w:t>
      </w:r>
      <w:r w:rsidR="00C37A91">
        <w:rPr>
          <w:sz w:val="20"/>
        </w:rPr>
        <w:t>standard compensation arrangements</w:t>
      </w:r>
      <w:r w:rsidR="00503F8F">
        <w:rPr>
          <w:sz w:val="20"/>
        </w:rPr>
        <w:t xml:space="preserve"> for non-employee directors</w:t>
      </w:r>
      <w:r w:rsidR="00964C9E">
        <w:rPr>
          <w:sz w:val="20"/>
        </w:rPr>
        <w:t xml:space="preserve"> in 2014</w:t>
      </w:r>
      <w:r>
        <w:rPr>
          <w:sz w:val="20"/>
        </w:rPr>
        <w:t>.  The award consist</w:t>
      </w:r>
      <w:r w:rsidR="00964C9E">
        <w:rPr>
          <w:sz w:val="20"/>
        </w:rPr>
        <w:t>ed</w:t>
      </w:r>
      <w:r>
        <w:rPr>
          <w:sz w:val="20"/>
        </w:rPr>
        <w:t xml:space="preserve"> </w:t>
      </w:r>
      <w:r w:rsidR="00AD03CB">
        <w:rPr>
          <w:sz w:val="20"/>
        </w:rPr>
        <w:t>of restricted stock</w:t>
      </w:r>
      <w:r w:rsidR="00C37A91">
        <w:rPr>
          <w:sz w:val="20"/>
        </w:rPr>
        <w:t xml:space="preserve"> </w:t>
      </w:r>
      <w:r>
        <w:rPr>
          <w:sz w:val="20"/>
        </w:rPr>
        <w:t xml:space="preserve">having a value of $50,000 </w:t>
      </w:r>
      <w:r w:rsidR="00C37A91">
        <w:rPr>
          <w:sz w:val="20"/>
        </w:rPr>
        <w:t xml:space="preserve">based on the closing price </w:t>
      </w:r>
      <w:r w:rsidR="00AF26A8">
        <w:rPr>
          <w:sz w:val="20"/>
        </w:rPr>
        <w:t xml:space="preserve">per share </w:t>
      </w:r>
      <w:r w:rsidR="00C37A91">
        <w:rPr>
          <w:sz w:val="20"/>
        </w:rPr>
        <w:t>of the Company's common stock on the award date</w:t>
      </w:r>
      <w:r w:rsidR="00AD03CB">
        <w:rPr>
          <w:sz w:val="20"/>
        </w:rPr>
        <w:t xml:space="preserve">, which </w:t>
      </w:r>
      <w:r w:rsidR="00C37A91">
        <w:rPr>
          <w:sz w:val="20"/>
        </w:rPr>
        <w:t>on May 9, 2014 was $</w:t>
      </w:r>
      <w:r w:rsidR="00AF26A8">
        <w:rPr>
          <w:sz w:val="20"/>
        </w:rPr>
        <w:t>8.06</w:t>
      </w:r>
      <w:r w:rsidR="00AD03CB">
        <w:rPr>
          <w:sz w:val="20"/>
        </w:rPr>
        <w:t xml:space="preserve">.  </w:t>
      </w:r>
      <w:r w:rsidR="00AF26A8">
        <w:rPr>
          <w:sz w:val="20"/>
        </w:rPr>
        <w:t>T</w:t>
      </w:r>
      <w:r w:rsidR="00AD03CB">
        <w:rPr>
          <w:sz w:val="20"/>
        </w:rPr>
        <w:t xml:space="preserve">he restrictions on these shares expired on May </w:t>
      </w:r>
      <w:r w:rsidR="001B6DC9">
        <w:rPr>
          <w:sz w:val="20"/>
        </w:rPr>
        <w:t>7</w:t>
      </w:r>
      <w:r w:rsidR="00AD03CB">
        <w:rPr>
          <w:sz w:val="20"/>
        </w:rPr>
        <w:t>, 2015</w:t>
      </w:r>
      <w:r w:rsidR="00503F8F">
        <w:rPr>
          <w:sz w:val="20"/>
        </w:rPr>
        <w:t>,</w:t>
      </w:r>
      <w:r w:rsidR="001B6DC9">
        <w:rPr>
          <w:sz w:val="20"/>
        </w:rPr>
        <w:t xml:space="preserve"> when the closing price per share was $4.05</w:t>
      </w:r>
      <w:r w:rsidR="00AD03CB">
        <w:rPr>
          <w:sz w:val="20"/>
        </w:rPr>
        <w:t>.</w:t>
      </w:r>
      <w:r w:rsidR="00503F8F">
        <w:rPr>
          <w:sz w:val="20"/>
        </w:rPr>
        <w:t xml:space="preserve">  </w:t>
      </w:r>
    </w:p>
    <w:p w:rsidR="0036618A" w:rsidRDefault="008A679C" w:rsidP="0002782B">
      <w:pPr>
        <w:pStyle w:val="ListParagraph"/>
        <w:keepNext/>
        <w:widowControl/>
        <w:spacing w:before="100" w:after="40"/>
        <w:ind w:left="0"/>
        <w:contextualSpacing w:val="0"/>
        <w:jc w:val="left"/>
      </w:pPr>
      <w:bookmarkStart w:id="110" w:name="_Toc381354155"/>
      <w:bookmarkStart w:id="111" w:name="_Toc445739598"/>
      <w:r w:rsidRPr="00C12BAD">
        <w:rPr>
          <w:rStyle w:val="003ProxyChar"/>
        </w:rPr>
        <w:t>Outstanding Equity Awards at December 31, 201</w:t>
      </w:r>
      <w:bookmarkEnd w:id="110"/>
      <w:r w:rsidR="0068043C">
        <w:rPr>
          <w:rStyle w:val="003ProxyChar"/>
        </w:rPr>
        <w:t>5</w:t>
      </w:r>
      <w:bookmarkEnd w:id="111"/>
      <w:r w:rsidRPr="008A679C">
        <w:t xml:space="preserve">.  </w:t>
      </w:r>
      <w:r w:rsidR="0036618A">
        <w:t>None of the named executive officers held stock options in 201</w:t>
      </w:r>
      <w:r w:rsidR="0068043C">
        <w:t>5</w:t>
      </w:r>
      <w:r w:rsidR="0036618A">
        <w:t xml:space="preserve">, and the Company currently has no outstanding stock options.  </w:t>
      </w:r>
    </w:p>
    <w:p w:rsidR="00B97DCE" w:rsidRDefault="008A679C" w:rsidP="00672977">
      <w:pPr>
        <w:pStyle w:val="ListParagraph"/>
        <w:keepNext/>
        <w:widowControl/>
        <w:spacing w:after="0"/>
        <w:ind w:left="0"/>
        <w:contextualSpacing w:val="0"/>
        <w:jc w:val="left"/>
      </w:pPr>
      <w:r w:rsidRPr="008A679C">
        <w:t>The following table shows</w:t>
      </w:r>
      <w:r w:rsidR="001A7BA6">
        <w:t xml:space="preserve"> on an aggregated basis</w:t>
      </w:r>
      <w:r w:rsidRPr="008A679C">
        <w:t xml:space="preserve"> certain information concerning </w:t>
      </w:r>
      <w:r w:rsidR="00F06A7C">
        <w:t xml:space="preserve">the </w:t>
      </w:r>
      <w:r w:rsidR="00274FE0">
        <w:t xml:space="preserve">unvested </w:t>
      </w:r>
      <w:r w:rsidRPr="008A679C">
        <w:t>restricted stock awards</w:t>
      </w:r>
      <w:r w:rsidR="009E4ADC">
        <w:t xml:space="preserve"> of</w:t>
      </w:r>
      <w:r w:rsidR="009E4ADC" w:rsidRPr="008A679C">
        <w:t xml:space="preserve"> each </w:t>
      </w:r>
      <w:r w:rsidR="009E4ADC">
        <w:t xml:space="preserve">of the </w:t>
      </w:r>
      <w:r w:rsidR="009E4ADC" w:rsidRPr="008A679C">
        <w:t>named executive officer</w:t>
      </w:r>
      <w:r w:rsidR="003F14E8">
        <w:t>s</w:t>
      </w:r>
      <w:r w:rsidRPr="008A679C">
        <w:t xml:space="preserve"> that were outstanding on December 31, 201</w:t>
      </w:r>
      <w:r w:rsidR="0068043C">
        <w:t>5</w:t>
      </w:r>
      <w:r w:rsidRPr="008A679C">
        <w:t xml:space="preserve">.  </w:t>
      </w:r>
      <w:r w:rsidR="003A21C0">
        <w:t xml:space="preserve">These </w:t>
      </w:r>
      <w:r w:rsidR="005341D6">
        <w:t>are</w:t>
      </w:r>
      <w:r w:rsidR="003A21C0">
        <w:t xml:space="preserve"> the only outstanding </w:t>
      </w:r>
      <w:r w:rsidRPr="008A679C">
        <w:t xml:space="preserve">equity awards </w:t>
      </w:r>
      <w:r w:rsidR="00CD38D8">
        <w:t xml:space="preserve">that </w:t>
      </w:r>
      <w:r w:rsidRPr="008A679C">
        <w:t>the named executive officers</w:t>
      </w:r>
      <w:r w:rsidR="003A21C0">
        <w:t xml:space="preserve"> </w:t>
      </w:r>
      <w:r w:rsidR="002070A2">
        <w:t>held</w:t>
      </w:r>
      <w:r w:rsidR="00CD38D8">
        <w:t xml:space="preserve"> </w:t>
      </w:r>
      <w:r w:rsidR="003A21C0">
        <w:t>on December 31, 201</w:t>
      </w:r>
      <w:r w:rsidR="0068043C">
        <w:t>5</w:t>
      </w:r>
      <w:r w:rsidRPr="008A679C">
        <w:t xml:space="preserve">.  </w:t>
      </w:r>
    </w:p>
    <w:p w:rsidR="00B97DCE" w:rsidRDefault="00B97DCE">
      <w:pPr>
        <w:widowControl/>
        <w:spacing w:after="0"/>
        <w:jc w:val="left"/>
      </w:pPr>
      <w:r>
        <w:br w:type="page"/>
      </w:r>
    </w:p>
    <w:p w:rsidR="009075AF" w:rsidRDefault="009075AF" w:rsidP="00672977">
      <w:pPr>
        <w:pStyle w:val="ListParagraph"/>
        <w:keepNext/>
        <w:widowControl/>
        <w:spacing w:after="0"/>
        <w:ind w:left="0"/>
        <w:contextualSpacing w:val="0"/>
        <w:jc w:val="left"/>
      </w:pPr>
    </w:p>
    <w:tbl>
      <w:tblPr>
        <w:tblStyle w:val="TableGrid"/>
        <w:tblW w:w="98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1738"/>
        <w:gridCol w:w="1890"/>
        <w:gridCol w:w="1886"/>
        <w:gridCol w:w="2004"/>
      </w:tblGrid>
      <w:tr w:rsidR="00676D55" w:rsidTr="00AE3561">
        <w:trPr>
          <w:tblHeader/>
          <w:jc w:val="center"/>
        </w:trPr>
        <w:tc>
          <w:tcPr>
            <w:tcW w:w="2370" w:type="dxa"/>
            <w:tcMar>
              <w:top w:w="58" w:type="dxa"/>
              <w:left w:w="115" w:type="dxa"/>
              <w:bottom w:w="0" w:type="dxa"/>
              <w:right w:w="115" w:type="dxa"/>
            </w:tcMar>
            <w:vAlign w:val="bottom"/>
          </w:tcPr>
          <w:p w:rsidR="00676D55" w:rsidRPr="005E6667" w:rsidRDefault="00676D55" w:rsidP="00071F6C">
            <w:pPr>
              <w:pStyle w:val="ListParagraph"/>
              <w:keepNext/>
              <w:widowControl/>
              <w:spacing w:after="0"/>
              <w:ind w:left="0"/>
              <w:contextualSpacing w:val="0"/>
              <w:jc w:val="left"/>
              <w:rPr>
                <w:b/>
                <w:sz w:val="20"/>
              </w:rPr>
            </w:pPr>
          </w:p>
        </w:tc>
        <w:tc>
          <w:tcPr>
            <w:tcW w:w="3628" w:type="dxa"/>
            <w:gridSpan w:val="2"/>
            <w:tcMar>
              <w:top w:w="58" w:type="dxa"/>
              <w:left w:w="115" w:type="dxa"/>
              <w:bottom w:w="0" w:type="dxa"/>
              <w:right w:w="115" w:type="dxa"/>
            </w:tcMar>
            <w:vAlign w:val="bottom"/>
          </w:tcPr>
          <w:p w:rsidR="00676D55" w:rsidRPr="005E6667" w:rsidRDefault="00676D55" w:rsidP="00071F6C">
            <w:pPr>
              <w:pStyle w:val="ListParagraph"/>
              <w:keepNext/>
              <w:widowControl/>
              <w:spacing w:after="0"/>
              <w:ind w:left="0"/>
              <w:contextualSpacing w:val="0"/>
              <w:jc w:val="center"/>
              <w:rPr>
                <w:b/>
                <w:sz w:val="20"/>
              </w:rPr>
            </w:pPr>
            <w:r>
              <w:rPr>
                <w:b/>
                <w:sz w:val="20"/>
              </w:rPr>
              <w:t>Stock Awards</w:t>
            </w:r>
          </w:p>
        </w:tc>
        <w:tc>
          <w:tcPr>
            <w:tcW w:w="3890" w:type="dxa"/>
            <w:gridSpan w:val="2"/>
          </w:tcPr>
          <w:p w:rsidR="00676D55" w:rsidRDefault="00676D55" w:rsidP="00071F6C">
            <w:pPr>
              <w:pStyle w:val="ListParagraph"/>
              <w:keepNext/>
              <w:widowControl/>
              <w:spacing w:after="0"/>
              <w:ind w:left="0"/>
              <w:contextualSpacing w:val="0"/>
              <w:jc w:val="center"/>
              <w:rPr>
                <w:b/>
                <w:sz w:val="20"/>
              </w:rPr>
            </w:pPr>
            <w:r w:rsidRPr="00735BFF">
              <w:rPr>
                <w:b/>
                <w:sz w:val="20"/>
              </w:rPr>
              <w:t>Equity Incentive Plan Awards</w:t>
            </w:r>
          </w:p>
        </w:tc>
      </w:tr>
      <w:tr w:rsidR="00DB2822" w:rsidTr="00AE3561">
        <w:trPr>
          <w:tblHeader/>
          <w:jc w:val="center"/>
        </w:trPr>
        <w:tc>
          <w:tcPr>
            <w:tcW w:w="2370" w:type="dxa"/>
            <w:tcBorders>
              <w:bottom w:val="single" w:sz="4" w:space="0" w:color="auto"/>
            </w:tcBorders>
            <w:tcMar>
              <w:top w:w="58" w:type="dxa"/>
              <w:left w:w="115" w:type="dxa"/>
              <w:bottom w:w="0" w:type="dxa"/>
              <w:right w:w="115" w:type="dxa"/>
            </w:tcMar>
            <w:vAlign w:val="bottom"/>
          </w:tcPr>
          <w:p w:rsidR="00DB2822" w:rsidRPr="005E6667" w:rsidRDefault="00DB2822" w:rsidP="00071F6C">
            <w:pPr>
              <w:pStyle w:val="ListParagraph"/>
              <w:keepNext/>
              <w:widowControl/>
              <w:spacing w:after="0"/>
              <w:ind w:left="0"/>
              <w:contextualSpacing w:val="0"/>
              <w:jc w:val="left"/>
              <w:rPr>
                <w:sz w:val="20"/>
              </w:rPr>
            </w:pPr>
            <w:r w:rsidRPr="005E6667">
              <w:rPr>
                <w:b/>
                <w:sz w:val="20"/>
              </w:rPr>
              <w:t>Name</w:t>
            </w:r>
          </w:p>
        </w:tc>
        <w:tc>
          <w:tcPr>
            <w:tcW w:w="1738" w:type="dxa"/>
            <w:tcBorders>
              <w:bottom w:val="single" w:sz="4" w:space="0" w:color="auto"/>
            </w:tcBorders>
            <w:tcMar>
              <w:top w:w="58" w:type="dxa"/>
              <w:left w:w="115" w:type="dxa"/>
              <w:bottom w:w="0" w:type="dxa"/>
              <w:right w:w="115" w:type="dxa"/>
            </w:tcMar>
            <w:vAlign w:val="bottom"/>
          </w:tcPr>
          <w:p w:rsidR="00DB2822" w:rsidRPr="005E6667" w:rsidRDefault="00DB2822" w:rsidP="00676D55">
            <w:pPr>
              <w:pStyle w:val="ListParagraph"/>
              <w:keepNext/>
              <w:widowControl/>
              <w:spacing w:after="0"/>
              <w:ind w:left="0"/>
              <w:contextualSpacing w:val="0"/>
              <w:jc w:val="center"/>
              <w:rPr>
                <w:b/>
                <w:sz w:val="20"/>
              </w:rPr>
            </w:pPr>
            <w:r w:rsidRPr="005E6667">
              <w:rPr>
                <w:b/>
                <w:sz w:val="20"/>
              </w:rPr>
              <w:t>Number of Shares</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of Stock</w:t>
            </w:r>
            <w:r>
              <w:rPr>
                <w:b/>
                <w:sz w:val="20"/>
              </w:rPr>
              <w:t xml:space="preserve"> or Units</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That Have Not</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Vested</w:t>
            </w:r>
            <w:r>
              <w:rPr>
                <w:b/>
                <w:sz w:val="20"/>
              </w:rPr>
              <w:t xml:space="preserve"> </w:t>
            </w:r>
            <w:r w:rsidRPr="00CB2509">
              <w:rPr>
                <w:b/>
                <w:sz w:val="20"/>
                <w:vertAlign w:val="superscript"/>
              </w:rPr>
              <w:t>(1)</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w:t>
            </w:r>
          </w:p>
        </w:tc>
        <w:tc>
          <w:tcPr>
            <w:tcW w:w="1890" w:type="dxa"/>
            <w:tcBorders>
              <w:bottom w:val="single" w:sz="4" w:space="0" w:color="auto"/>
            </w:tcBorders>
            <w:tcMar>
              <w:top w:w="58" w:type="dxa"/>
              <w:left w:w="115" w:type="dxa"/>
              <w:bottom w:w="0" w:type="dxa"/>
              <w:right w:w="115" w:type="dxa"/>
            </w:tcMar>
            <w:vAlign w:val="bottom"/>
          </w:tcPr>
          <w:p w:rsidR="00DB2822" w:rsidRPr="005E6667" w:rsidRDefault="00DB2822" w:rsidP="00676D55">
            <w:pPr>
              <w:pStyle w:val="ListParagraph"/>
              <w:keepNext/>
              <w:widowControl/>
              <w:spacing w:after="0"/>
              <w:ind w:left="0"/>
              <w:contextualSpacing w:val="0"/>
              <w:jc w:val="center"/>
              <w:rPr>
                <w:b/>
                <w:sz w:val="20"/>
              </w:rPr>
            </w:pPr>
            <w:r w:rsidRPr="005E6667">
              <w:rPr>
                <w:b/>
                <w:sz w:val="20"/>
              </w:rPr>
              <w:t>Market Value on</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December 31, 201</w:t>
            </w:r>
            <w:r>
              <w:rPr>
                <w:b/>
                <w:sz w:val="20"/>
              </w:rPr>
              <w:t>5</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of Shares</w:t>
            </w:r>
            <w:r>
              <w:rPr>
                <w:b/>
                <w:sz w:val="20"/>
              </w:rPr>
              <w:t xml:space="preserve"> </w:t>
            </w:r>
            <w:r w:rsidRPr="005E6667">
              <w:rPr>
                <w:b/>
                <w:sz w:val="20"/>
              </w:rPr>
              <w:t>of</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 xml:space="preserve">Stock </w:t>
            </w:r>
            <w:r>
              <w:rPr>
                <w:b/>
                <w:sz w:val="20"/>
              </w:rPr>
              <w:t xml:space="preserve">or Units </w:t>
            </w:r>
            <w:r w:rsidRPr="005E6667">
              <w:rPr>
                <w:b/>
                <w:sz w:val="20"/>
              </w:rPr>
              <w:t>That Have</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Not Vested</w:t>
            </w:r>
            <w:r>
              <w:rPr>
                <w:b/>
                <w:sz w:val="20"/>
              </w:rPr>
              <w:t xml:space="preserve"> </w:t>
            </w:r>
            <w:r w:rsidRPr="008C5B9B">
              <w:rPr>
                <w:b/>
                <w:sz w:val="20"/>
                <w:vertAlign w:val="superscript"/>
              </w:rPr>
              <w:t>(2)</w:t>
            </w:r>
          </w:p>
          <w:p w:rsidR="00DB2822" w:rsidRPr="005E6667" w:rsidRDefault="00DB2822" w:rsidP="00676D55">
            <w:pPr>
              <w:pStyle w:val="ListParagraph"/>
              <w:keepNext/>
              <w:widowControl/>
              <w:spacing w:after="0"/>
              <w:ind w:left="0"/>
              <w:contextualSpacing w:val="0"/>
              <w:jc w:val="center"/>
              <w:rPr>
                <w:b/>
                <w:sz w:val="20"/>
              </w:rPr>
            </w:pPr>
            <w:r w:rsidRPr="005E6667">
              <w:rPr>
                <w:b/>
                <w:sz w:val="20"/>
              </w:rPr>
              <w:t>($)</w:t>
            </w:r>
          </w:p>
        </w:tc>
        <w:tc>
          <w:tcPr>
            <w:tcW w:w="1886" w:type="dxa"/>
            <w:tcBorders>
              <w:bottom w:val="single" w:sz="4" w:space="0" w:color="auto"/>
            </w:tcBorders>
            <w:vAlign w:val="bottom"/>
          </w:tcPr>
          <w:p w:rsidR="00DB2822" w:rsidRDefault="00DB2822" w:rsidP="00676D55">
            <w:pPr>
              <w:pStyle w:val="ListParagraph"/>
              <w:spacing w:after="0"/>
              <w:ind w:left="0"/>
              <w:jc w:val="center"/>
              <w:rPr>
                <w:sz w:val="20"/>
              </w:rPr>
            </w:pPr>
            <w:r w:rsidRPr="00735BFF">
              <w:rPr>
                <w:b/>
                <w:sz w:val="20"/>
              </w:rPr>
              <w:t>Number of Unearned Shares, Units or</w:t>
            </w:r>
            <w:r>
              <w:rPr>
                <w:b/>
                <w:sz w:val="20"/>
              </w:rPr>
              <w:t xml:space="preserve"> </w:t>
            </w:r>
            <w:r w:rsidRPr="00735BFF">
              <w:rPr>
                <w:b/>
                <w:sz w:val="20"/>
              </w:rPr>
              <w:t>Other Rights That Have Not Vested</w:t>
            </w:r>
          </w:p>
          <w:p w:rsidR="00DB2822" w:rsidRPr="00735BFF" w:rsidRDefault="00DB2822" w:rsidP="00676D55">
            <w:pPr>
              <w:pStyle w:val="ListParagraph"/>
              <w:spacing w:after="0"/>
              <w:ind w:left="0"/>
              <w:jc w:val="center"/>
              <w:rPr>
                <w:sz w:val="20"/>
              </w:rPr>
            </w:pPr>
            <w:r w:rsidRPr="00735BFF">
              <w:rPr>
                <w:sz w:val="20"/>
              </w:rPr>
              <w:t>(#)</w:t>
            </w:r>
          </w:p>
        </w:tc>
        <w:tc>
          <w:tcPr>
            <w:tcW w:w="2004" w:type="dxa"/>
            <w:tcBorders>
              <w:bottom w:val="single" w:sz="4" w:space="0" w:color="auto"/>
            </w:tcBorders>
            <w:vAlign w:val="bottom"/>
          </w:tcPr>
          <w:p w:rsidR="00DB2822" w:rsidRPr="00DB2822" w:rsidRDefault="00DB2822" w:rsidP="00676D55">
            <w:pPr>
              <w:pStyle w:val="ListParagraph"/>
              <w:spacing w:after="0"/>
              <w:ind w:left="0"/>
              <w:jc w:val="center"/>
              <w:rPr>
                <w:b/>
                <w:sz w:val="20"/>
              </w:rPr>
            </w:pPr>
            <w:r w:rsidRPr="00DB2822">
              <w:rPr>
                <w:b/>
                <w:sz w:val="20"/>
              </w:rPr>
              <w:t>Market or</w:t>
            </w:r>
            <w:r>
              <w:rPr>
                <w:b/>
                <w:sz w:val="20"/>
              </w:rPr>
              <w:t xml:space="preserve"> </w:t>
            </w:r>
            <w:r w:rsidRPr="00DB2822">
              <w:rPr>
                <w:b/>
                <w:sz w:val="20"/>
              </w:rPr>
              <w:t>Payout</w:t>
            </w:r>
          </w:p>
          <w:p w:rsidR="00DB2822" w:rsidRPr="00DB2822" w:rsidRDefault="00DB2822" w:rsidP="00676D55">
            <w:pPr>
              <w:pStyle w:val="ListParagraph"/>
              <w:spacing w:after="0"/>
              <w:ind w:left="0"/>
              <w:jc w:val="center"/>
              <w:rPr>
                <w:b/>
                <w:sz w:val="20"/>
              </w:rPr>
            </w:pPr>
            <w:r w:rsidRPr="00DB2822">
              <w:rPr>
                <w:b/>
                <w:sz w:val="20"/>
              </w:rPr>
              <w:t>Value</w:t>
            </w:r>
            <w:r>
              <w:rPr>
                <w:b/>
                <w:sz w:val="20"/>
              </w:rPr>
              <w:t xml:space="preserve"> </w:t>
            </w:r>
            <w:r w:rsidRPr="00DB2822">
              <w:rPr>
                <w:b/>
                <w:sz w:val="20"/>
              </w:rPr>
              <w:t>of</w:t>
            </w:r>
            <w:r>
              <w:rPr>
                <w:b/>
                <w:sz w:val="20"/>
              </w:rPr>
              <w:t xml:space="preserve"> </w:t>
            </w:r>
            <w:r w:rsidRPr="00DB2822">
              <w:rPr>
                <w:b/>
                <w:sz w:val="20"/>
              </w:rPr>
              <w:t>Unearned</w:t>
            </w:r>
          </w:p>
          <w:p w:rsidR="00DB2822" w:rsidRPr="00DB2822" w:rsidRDefault="00DB2822" w:rsidP="00676D55">
            <w:pPr>
              <w:pStyle w:val="ListParagraph"/>
              <w:spacing w:after="0"/>
              <w:ind w:left="0"/>
              <w:jc w:val="center"/>
              <w:rPr>
                <w:b/>
                <w:sz w:val="20"/>
              </w:rPr>
            </w:pPr>
            <w:r w:rsidRPr="00DB2822">
              <w:rPr>
                <w:b/>
                <w:sz w:val="20"/>
              </w:rPr>
              <w:t>Shares,</w:t>
            </w:r>
            <w:r>
              <w:rPr>
                <w:b/>
                <w:sz w:val="20"/>
              </w:rPr>
              <w:t xml:space="preserve"> </w:t>
            </w:r>
            <w:r w:rsidRPr="00DB2822">
              <w:rPr>
                <w:b/>
                <w:sz w:val="20"/>
              </w:rPr>
              <w:t>Units or</w:t>
            </w:r>
          </w:p>
          <w:p w:rsidR="00DB2822" w:rsidRPr="00DB2822" w:rsidRDefault="00DB2822" w:rsidP="00676D55">
            <w:pPr>
              <w:pStyle w:val="ListParagraph"/>
              <w:spacing w:after="0"/>
              <w:ind w:left="0"/>
              <w:jc w:val="center"/>
              <w:rPr>
                <w:b/>
                <w:sz w:val="20"/>
              </w:rPr>
            </w:pPr>
            <w:r w:rsidRPr="00DB2822">
              <w:rPr>
                <w:b/>
                <w:sz w:val="20"/>
              </w:rPr>
              <w:t>Other</w:t>
            </w:r>
            <w:r>
              <w:rPr>
                <w:b/>
                <w:sz w:val="20"/>
              </w:rPr>
              <w:t xml:space="preserve"> </w:t>
            </w:r>
            <w:r w:rsidRPr="00DB2822">
              <w:rPr>
                <w:b/>
                <w:sz w:val="20"/>
              </w:rPr>
              <w:t>Rights</w:t>
            </w:r>
            <w:r>
              <w:rPr>
                <w:b/>
                <w:sz w:val="20"/>
              </w:rPr>
              <w:t xml:space="preserve"> </w:t>
            </w:r>
            <w:r w:rsidRPr="00DB2822">
              <w:rPr>
                <w:b/>
                <w:sz w:val="20"/>
              </w:rPr>
              <w:t>That Have</w:t>
            </w:r>
            <w:r>
              <w:rPr>
                <w:b/>
                <w:sz w:val="20"/>
              </w:rPr>
              <w:t xml:space="preserve"> </w:t>
            </w:r>
            <w:r w:rsidRPr="00DB2822">
              <w:rPr>
                <w:b/>
                <w:sz w:val="20"/>
              </w:rPr>
              <w:t>Not</w:t>
            </w:r>
            <w:r>
              <w:rPr>
                <w:b/>
                <w:sz w:val="20"/>
              </w:rPr>
              <w:t xml:space="preserve"> </w:t>
            </w:r>
            <w:r w:rsidRPr="00DB2822">
              <w:rPr>
                <w:b/>
                <w:sz w:val="20"/>
              </w:rPr>
              <w:t>Vested</w:t>
            </w:r>
            <w:r w:rsidR="007434AD">
              <w:rPr>
                <w:b/>
                <w:sz w:val="20"/>
              </w:rPr>
              <w:t xml:space="preserve"> </w:t>
            </w:r>
            <w:r w:rsidR="007434AD" w:rsidRPr="008C5B9B">
              <w:rPr>
                <w:b/>
                <w:sz w:val="20"/>
                <w:vertAlign w:val="superscript"/>
              </w:rPr>
              <w:t>(2)</w:t>
            </w:r>
          </w:p>
          <w:p w:rsidR="00DB2822" w:rsidRPr="00735BFF" w:rsidRDefault="00DB2822" w:rsidP="00676D55">
            <w:pPr>
              <w:pStyle w:val="ListParagraph"/>
              <w:spacing w:after="0"/>
              <w:ind w:left="0"/>
              <w:jc w:val="center"/>
              <w:rPr>
                <w:b/>
                <w:sz w:val="20"/>
              </w:rPr>
            </w:pPr>
            <w:r w:rsidRPr="00DB2822">
              <w:rPr>
                <w:b/>
                <w:sz w:val="20"/>
              </w:rPr>
              <w:t>($)</w:t>
            </w:r>
          </w:p>
        </w:tc>
      </w:tr>
      <w:tr w:rsidR="00DB2822" w:rsidRPr="005E6667" w:rsidTr="00AE3561">
        <w:trPr>
          <w:jc w:val="center"/>
        </w:trPr>
        <w:tc>
          <w:tcPr>
            <w:tcW w:w="2370" w:type="dxa"/>
            <w:tcBorders>
              <w:top w:val="single" w:sz="4" w:space="0" w:color="auto"/>
            </w:tcBorders>
            <w:shd w:val="clear" w:color="auto" w:fill="C6D9F1" w:themeFill="text2" w:themeFillTint="33"/>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left"/>
              <w:rPr>
                <w:sz w:val="20"/>
              </w:rPr>
            </w:pPr>
            <w:r>
              <w:rPr>
                <w:sz w:val="20"/>
              </w:rPr>
              <w:t>Paul J. Varello</w:t>
            </w:r>
            <w:r w:rsidRPr="0060096B">
              <w:rPr>
                <w:sz w:val="20"/>
                <w:vertAlign w:val="superscript"/>
              </w:rPr>
              <w:t>(</w:t>
            </w:r>
            <w:r w:rsidR="00CF43C9">
              <w:rPr>
                <w:sz w:val="20"/>
                <w:vertAlign w:val="superscript"/>
              </w:rPr>
              <w:t>3</w:t>
            </w:r>
            <w:r w:rsidRPr="0060096B">
              <w:rPr>
                <w:sz w:val="20"/>
                <w:vertAlign w:val="superscript"/>
              </w:rPr>
              <w:t>)</w:t>
            </w:r>
          </w:p>
        </w:tc>
        <w:tc>
          <w:tcPr>
            <w:tcW w:w="1738" w:type="dxa"/>
            <w:tcBorders>
              <w:top w:val="single" w:sz="4" w:space="0" w:color="auto"/>
            </w:tcBorders>
            <w:shd w:val="clear" w:color="auto" w:fill="C6D9F1" w:themeFill="text2" w:themeFillTint="33"/>
            <w:tcMar>
              <w:top w:w="58" w:type="dxa"/>
              <w:left w:w="115" w:type="dxa"/>
              <w:bottom w:w="58" w:type="dxa"/>
              <w:right w:w="115" w:type="dxa"/>
            </w:tcMar>
            <w:vAlign w:val="center"/>
          </w:tcPr>
          <w:p w:rsidR="00DB2822" w:rsidRPr="0060096B" w:rsidRDefault="00DB2822" w:rsidP="008B6972">
            <w:pPr>
              <w:pStyle w:val="ListParagraph"/>
              <w:widowControl/>
              <w:spacing w:after="0"/>
              <w:ind w:left="0"/>
              <w:contextualSpacing w:val="0"/>
              <w:jc w:val="center"/>
              <w:rPr>
                <w:sz w:val="20"/>
              </w:rPr>
            </w:pPr>
            <w:r>
              <w:rPr>
                <w:sz w:val="20"/>
              </w:rPr>
              <w:t>600,000</w:t>
            </w:r>
          </w:p>
        </w:tc>
        <w:tc>
          <w:tcPr>
            <w:tcW w:w="1890" w:type="dxa"/>
            <w:tcBorders>
              <w:top w:val="single" w:sz="4" w:space="0" w:color="auto"/>
            </w:tcBorders>
            <w:shd w:val="clear" w:color="auto" w:fill="C6D9F1" w:themeFill="text2" w:themeFillTint="33"/>
            <w:tcMar>
              <w:top w:w="58" w:type="dxa"/>
              <w:left w:w="115" w:type="dxa"/>
              <w:bottom w:w="58" w:type="dxa"/>
              <w:right w:w="115" w:type="dxa"/>
            </w:tcMar>
            <w:vAlign w:val="center"/>
          </w:tcPr>
          <w:p w:rsidR="00DB2822" w:rsidRPr="0060096B" w:rsidRDefault="00DB2822" w:rsidP="0068043C">
            <w:pPr>
              <w:pStyle w:val="ListParagraph"/>
              <w:widowControl/>
              <w:spacing w:after="0"/>
              <w:ind w:left="0"/>
              <w:contextualSpacing w:val="0"/>
              <w:jc w:val="center"/>
              <w:rPr>
                <w:sz w:val="20"/>
              </w:rPr>
            </w:pPr>
            <w:r w:rsidRPr="0068043C">
              <w:rPr>
                <w:sz w:val="20"/>
              </w:rPr>
              <w:t>3,648,000</w:t>
            </w:r>
          </w:p>
        </w:tc>
        <w:tc>
          <w:tcPr>
            <w:tcW w:w="1886" w:type="dxa"/>
            <w:tcBorders>
              <w:top w:val="single" w:sz="4" w:space="0" w:color="auto"/>
            </w:tcBorders>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c>
          <w:tcPr>
            <w:tcW w:w="2004" w:type="dxa"/>
            <w:tcBorders>
              <w:top w:val="single" w:sz="4" w:space="0" w:color="auto"/>
            </w:tcBorders>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r>
      <w:tr w:rsidR="00DB2822" w:rsidRPr="005E6667" w:rsidTr="00AE3561">
        <w:trPr>
          <w:jc w:val="center"/>
        </w:trPr>
        <w:tc>
          <w:tcPr>
            <w:tcW w:w="2370" w:type="dxa"/>
            <w:shd w:val="clear" w:color="auto" w:fill="FFFFFF" w:themeFill="background1"/>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left"/>
              <w:rPr>
                <w:sz w:val="20"/>
              </w:rPr>
            </w:pPr>
            <w:r>
              <w:rPr>
                <w:sz w:val="20"/>
              </w:rPr>
              <w:t>Ronald A. Ballschmiede</w:t>
            </w:r>
            <w:r w:rsidRPr="0060096B">
              <w:rPr>
                <w:sz w:val="20"/>
                <w:vertAlign w:val="superscript"/>
              </w:rPr>
              <w:t>(</w:t>
            </w:r>
            <w:r>
              <w:rPr>
                <w:sz w:val="20"/>
                <w:vertAlign w:val="superscript"/>
              </w:rPr>
              <w:t>4</w:t>
            </w:r>
            <w:r w:rsidRPr="0060096B">
              <w:rPr>
                <w:sz w:val="20"/>
                <w:vertAlign w:val="superscript"/>
              </w:rPr>
              <w:t>)</w:t>
            </w:r>
          </w:p>
        </w:tc>
        <w:tc>
          <w:tcPr>
            <w:tcW w:w="1738" w:type="dxa"/>
            <w:shd w:val="clear" w:color="auto" w:fill="FFFFFF" w:themeFill="background1"/>
            <w:tcMar>
              <w:top w:w="58" w:type="dxa"/>
              <w:left w:w="115" w:type="dxa"/>
              <w:bottom w:w="58" w:type="dxa"/>
              <w:right w:w="115" w:type="dxa"/>
            </w:tcMar>
            <w:vAlign w:val="bottom"/>
          </w:tcPr>
          <w:p w:rsidR="00DB2822" w:rsidRPr="0060096B" w:rsidRDefault="00DB2822" w:rsidP="007434AD">
            <w:pPr>
              <w:pStyle w:val="ListParagraph"/>
              <w:widowControl/>
              <w:spacing w:after="0"/>
              <w:ind w:left="0"/>
              <w:contextualSpacing w:val="0"/>
              <w:jc w:val="center"/>
              <w:rPr>
                <w:sz w:val="20"/>
              </w:rPr>
            </w:pPr>
            <w:r>
              <w:rPr>
                <w:sz w:val="20"/>
              </w:rPr>
              <w:t>100,000</w:t>
            </w:r>
          </w:p>
        </w:tc>
        <w:tc>
          <w:tcPr>
            <w:tcW w:w="1890" w:type="dxa"/>
            <w:shd w:val="clear" w:color="auto" w:fill="FFFFFF" w:themeFill="background1"/>
            <w:tcMar>
              <w:top w:w="58" w:type="dxa"/>
              <w:left w:w="115" w:type="dxa"/>
              <w:bottom w:w="58" w:type="dxa"/>
              <w:right w:w="115" w:type="dxa"/>
            </w:tcMar>
            <w:vAlign w:val="bottom"/>
          </w:tcPr>
          <w:p w:rsidR="00DB2822" w:rsidRPr="0060096B" w:rsidRDefault="00DB2822" w:rsidP="007434AD">
            <w:pPr>
              <w:pStyle w:val="ListParagraph"/>
              <w:widowControl/>
              <w:spacing w:after="0"/>
              <w:ind w:left="0"/>
              <w:contextualSpacing w:val="0"/>
              <w:jc w:val="center"/>
              <w:rPr>
                <w:sz w:val="20"/>
              </w:rPr>
            </w:pPr>
            <w:r>
              <w:rPr>
                <w:sz w:val="20"/>
              </w:rPr>
              <w:t>608,000</w:t>
            </w:r>
          </w:p>
        </w:tc>
        <w:tc>
          <w:tcPr>
            <w:tcW w:w="1886" w:type="dxa"/>
            <w:shd w:val="clear" w:color="auto" w:fill="FFFFFF" w:themeFill="background1"/>
            <w:vAlign w:val="bottom"/>
          </w:tcPr>
          <w:p w:rsidR="00DB2822" w:rsidRPr="00735BFF" w:rsidRDefault="00DB2822" w:rsidP="007434AD">
            <w:pPr>
              <w:pStyle w:val="ListParagraph"/>
              <w:spacing w:after="0"/>
              <w:ind w:left="0"/>
              <w:contextualSpacing w:val="0"/>
              <w:jc w:val="center"/>
              <w:rPr>
                <w:sz w:val="20"/>
              </w:rPr>
            </w:pPr>
            <w:r>
              <w:rPr>
                <w:sz w:val="20"/>
              </w:rPr>
              <w:t>—</w:t>
            </w:r>
          </w:p>
        </w:tc>
        <w:tc>
          <w:tcPr>
            <w:tcW w:w="2004" w:type="dxa"/>
            <w:shd w:val="clear" w:color="auto" w:fill="FFFFFF" w:themeFill="background1"/>
            <w:vAlign w:val="bottom"/>
          </w:tcPr>
          <w:p w:rsidR="00DB2822" w:rsidRPr="00735BFF" w:rsidRDefault="00DB2822" w:rsidP="007434AD">
            <w:pPr>
              <w:pStyle w:val="ListParagraph"/>
              <w:spacing w:after="0"/>
              <w:ind w:left="0"/>
              <w:contextualSpacing w:val="0"/>
              <w:jc w:val="center"/>
              <w:rPr>
                <w:sz w:val="20"/>
              </w:rPr>
            </w:pPr>
            <w:r>
              <w:rPr>
                <w:sz w:val="20"/>
              </w:rPr>
              <w:t>—</w:t>
            </w:r>
          </w:p>
        </w:tc>
      </w:tr>
      <w:tr w:rsidR="00DB2822" w:rsidRPr="005E6667" w:rsidTr="00AE3561">
        <w:trPr>
          <w:jc w:val="center"/>
        </w:trPr>
        <w:tc>
          <w:tcPr>
            <w:tcW w:w="2370" w:type="dxa"/>
            <w:shd w:val="clear" w:color="auto" w:fill="C6D9F1" w:themeFill="text2" w:themeFillTint="33"/>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left"/>
              <w:rPr>
                <w:sz w:val="20"/>
              </w:rPr>
            </w:pPr>
            <w:r>
              <w:rPr>
                <w:sz w:val="20"/>
              </w:rPr>
              <w:t>Roger M. Barzun</w:t>
            </w:r>
          </w:p>
        </w:tc>
        <w:tc>
          <w:tcPr>
            <w:tcW w:w="1738" w:type="dxa"/>
            <w:shd w:val="clear" w:color="auto" w:fill="C6D9F1" w:themeFill="text2" w:themeFillTint="33"/>
            <w:tcMar>
              <w:top w:w="58" w:type="dxa"/>
              <w:left w:w="115" w:type="dxa"/>
              <w:bottom w:w="58" w:type="dxa"/>
              <w:right w:w="115" w:type="dxa"/>
            </w:tcMar>
            <w:vAlign w:val="center"/>
          </w:tcPr>
          <w:p w:rsidR="00DB2822" w:rsidRPr="0060096B" w:rsidRDefault="00DB2822" w:rsidP="008B6972">
            <w:pPr>
              <w:pStyle w:val="ListParagraph"/>
              <w:widowControl/>
              <w:spacing w:after="0"/>
              <w:ind w:left="0"/>
              <w:contextualSpacing w:val="0"/>
              <w:jc w:val="center"/>
              <w:rPr>
                <w:sz w:val="20"/>
              </w:rPr>
            </w:pPr>
            <w:r>
              <w:rPr>
                <w:sz w:val="20"/>
              </w:rPr>
              <w:t>—</w:t>
            </w:r>
          </w:p>
        </w:tc>
        <w:tc>
          <w:tcPr>
            <w:tcW w:w="1890" w:type="dxa"/>
            <w:shd w:val="clear" w:color="auto" w:fill="C6D9F1" w:themeFill="text2" w:themeFillTint="33"/>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center"/>
              <w:rPr>
                <w:sz w:val="20"/>
              </w:rPr>
            </w:pPr>
            <w:r>
              <w:rPr>
                <w:sz w:val="20"/>
              </w:rPr>
              <w:t>—</w:t>
            </w:r>
          </w:p>
        </w:tc>
        <w:tc>
          <w:tcPr>
            <w:tcW w:w="1886" w:type="dxa"/>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c>
          <w:tcPr>
            <w:tcW w:w="2004" w:type="dxa"/>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r>
      <w:tr w:rsidR="00DB2822" w:rsidRPr="005E6667" w:rsidTr="00AE3561">
        <w:trPr>
          <w:jc w:val="center"/>
        </w:trPr>
        <w:tc>
          <w:tcPr>
            <w:tcW w:w="2370" w:type="dxa"/>
            <w:shd w:val="clear" w:color="auto" w:fill="FFFFFF" w:themeFill="background1"/>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left"/>
              <w:rPr>
                <w:sz w:val="20"/>
              </w:rPr>
            </w:pPr>
            <w:r>
              <w:rPr>
                <w:sz w:val="20"/>
              </w:rPr>
              <w:t>Kevan M. Blair</w:t>
            </w:r>
            <w:r w:rsidRPr="0060096B">
              <w:rPr>
                <w:sz w:val="20"/>
                <w:vertAlign w:val="superscript"/>
              </w:rPr>
              <w:t>(</w:t>
            </w:r>
            <w:r>
              <w:rPr>
                <w:sz w:val="20"/>
                <w:vertAlign w:val="superscript"/>
              </w:rPr>
              <w:t>5</w:t>
            </w:r>
            <w:r w:rsidRPr="0060096B">
              <w:rPr>
                <w:sz w:val="20"/>
                <w:vertAlign w:val="superscript"/>
              </w:rPr>
              <w:t>)</w:t>
            </w:r>
          </w:p>
        </w:tc>
        <w:tc>
          <w:tcPr>
            <w:tcW w:w="1738" w:type="dxa"/>
            <w:shd w:val="clear" w:color="auto" w:fill="FFFFFF" w:themeFill="background1"/>
            <w:tcMar>
              <w:top w:w="58" w:type="dxa"/>
              <w:left w:w="115" w:type="dxa"/>
              <w:bottom w:w="58" w:type="dxa"/>
              <w:right w:w="115" w:type="dxa"/>
            </w:tcMar>
            <w:vAlign w:val="center"/>
          </w:tcPr>
          <w:p w:rsidR="00DB2822" w:rsidRPr="0060096B" w:rsidRDefault="00F86F05" w:rsidP="0068043C">
            <w:pPr>
              <w:pStyle w:val="ListParagraph"/>
              <w:widowControl/>
              <w:spacing w:after="0"/>
              <w:ind w:left="0"/>
              <w:contextualSpacing w:val="0"/>
              <w:jc w:val="center"/>
              <w:rPr>
                <w:sz w:val="20"/>
              </w:rPr>
            </w:pPr>
            <w:r>
              <w:rPr>
                <w:sz w:val="20"/>
              </w:rPr>
              <w:t>1,820</w:t>
            </w:r>
          </w:p>
        </w:tc>
        <w:tc>
          <w:tcPr>
            <w:tcW w:w="1890" w:type="dxa"/>
            <w:shd w:val="clear" w:color="auto" w:fill="FFFFFF" w:themeFill="background1"/>
            <w:tcMar>
              <w:top w:w="58" w:type="dxa"/>
              <w:left w:w="115" w:type="dxa"/>
              <w:bottom w:w="58" w:type="dxa"/>
              <w:right w:w="115" w:type="dxa"/>
            </w:tcMar>
            <w:vAlign w:val="center"/>
          </w:tcPr>
          <w:p w:rsidR="00DB2822" w:rsidRPr="0060096B" w:rsidRDefault="009C219C" w:rsidP="00075F08">
            <w:pPr>
              <w:pStyle w:val="ListParagraph"/>
              <w:widowControl/>
              <w:spacing w:after="0"/>
              <w:ind w:left="0"/>
              <w:contextualSpacing w:val="0"/>
              <w:jc w:val="center"/>
              <w:rPr>
                <w:sz w:val="20"/>
              </w:rPr>
            </w:pPr>
            <w:r>
              <w:rPr>
                <w:sz w:val="20"/>
              </w:rPr>
              <w:t>11,066</w:t>
            </w:r>
          </w:p>
        </w:tc>
        <w:tc>
          <w:tcPr>
            <w:tcW w:w="1886" w:type="dxa"/>
            <w:shd w:val="clear" w:color="auto" w:fill="FFFFFF" w:themeFill="background1"/>
          </w:tcPr>
          <w:p w:rsidR="00DB2822" w:rsidRPr="00735BFF" w:rsidRDefault="00DB2822" w:rsidP="00DB2822">
            <w:pPr>
              <w:pStyle w:val="ListParagraph"/>
              <w:spacing w:after="0"/>
              <w:ind w:left="0"/>
              <w:contextualSpacing w:val="0"/>
              <w:jc w:val="center"/>
              <w:rPr>
                <w:sz w:val="20"/>
              </w:rPr>
            </w:pPr>
            <w:r>
              <w:rPr>
                <w:sz w:val="20"/>
              </w:rPr>
              <w:t>3,971</w:t>
            </w:r>
          </w:p>
        </w:tc>
        <w:tc>
          <w:tcPr>
            <w:tcW w:w="2004" w:type="dxa"/>
            <w:shd w:val="clear" w:color="auto" w:fill="FFFFFF" w:themeFill="background1"/>
          </w:tcPr>
          <w:p w:rsidR="00DB2822" w:rsidRPr="00735BFF" w:rsidRDefault="007434AD" w:rsidP="00DB2822">
            <w:pPr>
              <w:pStyle w:val="ListParagraph"/>
              <w:spacing w:after="0"/>
              <w:ind w:left="0"/>
              <w:contextualSpacing w:val="0"/>
              <w:jc w:val="center"/>
              <w:rPr>
                <w:sz w:val="20"/>
              </w:rPr>
            </w:pPr>
            <w:r>
              <w:rPr>
                <w:sz w:val="20"/>
              </w:rPr>
              <w:t>24,144</w:t>
            </w:r>
          </w:p>
        </w:tc>
      </w:tr>
      <w:tr w:rsidR="00DB2822" w:rsidRPr="005E6667" w:rsidTr="00AE3561">
        <w:trPr>
          <w:jc w:val="center"/>
        </w:trPr>
        <w:tc>
          <w:tcPr>
            <w:tcW w:w="2370" w:type="dxa"/>
            <w:shd w:val="clear" w:color="auto" w:fill="C6D9F1" w:themeFill="text2" w:themeFillTint="33"/>
            <w:tcMar>
              <w:top w:w="58" w:type="dxa"/>
              <w:left w:w="115" w:type="dxa"/>
              <w:bottom w:w="58" w:type="dxa"/>
              <w:right w:w="115" w:type="dxa"/>
            </w:tcMar>
            <w:vAlign w:val="center"/>
          </w:tcPr>
          <w:p w:rsidR="00DB2822" w:rsidRPr="0060096B" w:rsidRDefault="00DB2822" w:rsidP="00276BA0">
            <w:pPr>
              <w:pStyle w:val="ListParagraph"/>
              <w:widowControl/>
              <w:spacing w:after="0"/>
              <w:ind w:left="0"/>
              <w:contextualSpacing w:val="0"/>
              <w:jc w:val="left"/>
              <w:rPr>
                <w:sz w:val="20"/>
              </w:rPr>
            </w:pPr>
            <w:r w:rsidRPr="0060096B">
              <w:rPr>
                <w:sz w:val="20"/>
              </w:rPr>
              <w:t>Peter E. MacKenna</w:t>
            </w:r>
          </w:p>
        </w:tc>
        <w:tc>
          <w:tcPr>
            <w:tcW w:w="1738" w:type="dxa"/>
            <w:shd w:val="clear" w:color="auto" w:fill="C6D9F1" w:themeFill="text2" w:themeFillTint="33"/>
            <w:tcMar>
              <w:top w:w="58" w:type="dxa"/>
              <w:left w:w="115" w:type="dxa"/>
              <w:bottom w:w="58" w:type="dxa"/>
              <w:right w:w="115" w:type="dxa"/>
            </w:tcMar>
            <w:vAlign w:val="center"/>
          </w:tcPr>
          <w:p w:rsidR="00DB2822" w:rsidRPr="0060096B" w:rsidRDefault="00DB2822" w:rsidP="008B6972">
            <w:pPr>
              <w:pStyle w:val="ListParagraph"/>
              <w:widowControl/>
              <w:spacing w:after="0"/>
              <w:ind w:left="0"/>
              <w:contextualSpacing w:val="0"/>
              <w:jc w:val="center"/>
              <w:rPr>
                <w:sz w:val="20"/>
              </w:rPr>
            </w:pPr>
            <w:r>
              <w:rPr>
                <w:sz w:val="20"/>
              </w:rPr>
              <w:t>—</w:t>
            </w:r>
          </w:p>
        </w:tc>
        <w:tc>
          <w:tcPr>
            <w:tcW w:w="1890" w:type="dxa"/>
            <w:shd w:val="clear" w:color="auto" w:fill="C6D9F1" w:themeFill="text2" w:themeFillTint="33"/>
            <w:tcMar>
              <w:top w:w="58" w:type="dxa"/>
              <w:left w:w="115" w:type="dxa"/>
              <w:bottom w:w="58" w:type="dxa"/>
              <w:right w:w="115" w:type="dxa"/>
            </w:tcMar>
            <w:vAlign w:val="center"/>
          </w:tcPr>
          <w:p w:rsidR="00DB2822" w:rsidRPr="0060096B" w:rsidRDefault="00DB2822" w:rsidP="00075F08">
            <w:pPr>
              <w:pStyle w:val="ListParagraph"/>
              <w:widowControl/>
              <w:spacing w:after="0"/>
              <w:ind w:left="0"/>
              <w:contextualSpacing w:val="0"/>
              <w:jc w:val="center"/>
              <w:rPr>
                <w:sz w:val="20"/>
              </w:rPr>
            </w:pPr>
            <w:r>
              <w:rPr>
                <w:sz w:val="20"/>
              </w:rPr>
              <w:t>—</w:t>
            </w:r>
          </w:p>
        </w:tc>
        <w:tc>
          <w:tcPr>
            <w:tcW w:w="1886" w:type="dxa"/>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c>
          <w:tcPr>
            <w:tcW w:w="2004" w:type="dxa"/>
            <w:shd w:val="clear" w:color="auto" w:fill="C6D9F1" w:themeFill="text2" w:themeFillTint="33"/>
          </w:tcPr>
          <w:p w:rsidR="00DB2822" w:rsidRPr="00735BFF" w:rsidRDefault="00DB2822" w:rsidP="00DB2822">
            <w:pPr>
              <w:pStyle w:val="ListParagraph"/>
              <w:spacing w:after="0"/>
              <w:ind w:left="0"/>
              <w:contextualSpacing w:val="0"/>
              <w:jc w:val="center"/>
              <w:rPr>
                <w:sz w:val="20"/>
              </w:rPr>
            </w:pPr>
            <w:r>
              <w:rPr>
                <w:sz w:val="20"/>
              </w:rPr>
              <w:t>—</w:t>
            </w:r>
          </w:p>
        </w:tc>
      </w:tr>
      <w:tr w:rsidR="00DB2822" w:rsidRPr="005E6667" w:rsidTr="00AE3561">
        <w:trPr>
          <w:jc w:val="center"/>
        </w:trPr>
        <w:tc>
          <w:tcPr>
            <w:tcW w:w="2370" w:type="dxa"/>
            <w:tcBorders>
              <w:bottom w:val="single" w:sz="4" w:space="0" w:color="auto"/>
            </w:tcBorders>
            <w:tcMar>
              <w:top w:w="58" w:type="dxa"/>
              <w:left w:w="115" w:type="dxa"/>
              <w:bottom w:w="58" w:type="dxa"/>
              <w:right w:w="115" w:type="dxa"/>
            </w:tcMar>
            <w:vAlign w:val="center"/>
          </w:tcPr>
          <w:p w:rsidR="00DB2822" w:rsidRPr="0060096B" w:rsidRDefault="00DB2822" w:rsidP="00CF43C9">
            <w:pPr>
              <w:pStyle w:val="ListParagraph"/>
              <w:widowControl/>
              <w:spacing w:after="0"/>
              <w:ind w:left="0"/>
              <w:contextualSpacing w:val="0"/>
              <w:jc w:val="left"/>
              <w:rPr>
                <w:sz w:val="20"/>
              </w:rPr>
            </w:pPr>
            <w:r w:rsidRPr="0060096B">
              <w:rPr>
                <w:sz w:val="20"/>
              </w:rPr>
              <w:t>Thomas R. Wright</w:t>
            </w:r>
          </w:p>
        </w:tc>
        <w:tc>
          <w:tcPr>
            <w:tcW w:w="1738" w:type="dxa"/>
            <w:tcBorders>
              <w:bottom w:val="single" w:sz="4" w:space="0" w:color="auto"/>
            </w:tcBorders>
            <w:tcMar>
              <w:top w:w="58" w:type="dxa"/>
              <w:left w:w="115" w:type="dxa"/>
              <w:bottom w:w="58" w:type="dxa"/>
              <w:right w:w="115" w:type="dxa"/>
            </w:tcMar>
            <w:vAlign w:val="center"/>
          </w:tcPr>
          <w:p w:rsidR="00DB2822" w:rsidRPr="0060096B" w:rsidRDefault="002070A2" w:rsidP="002070A2">
            <w:pPr>
              <w:pStyle w:val="ListParagraph"/>
              <w:widowControl/>
              <w:spacing w:after="0"/>
              <w:ind w:left="0"/>
              <w:contextualSpacing w:val="0"/>
              <w:jc w:val="center"/>
              <w:rPr>
                <w:sz w:val="20"/>
              </w:rPr>
            </w:pPr>
            <w:r>
              <w:rPr>
                <w:sz w:val="20"/>
              </w:rPr>
              <w:t>—</w:t>
            </w:r>
          </w:p>
        </w:tc>
        <w:tc>
          <w:tcPr>
            <w:tcW w:w="1890" w:type="dxa"/>
            <w:tcBorders>
              <w:bottom w:val="single" w:sz="4" w:space="0" w:color="auto"/>
            </w:tcBorders>
            <w:shd w:val="clear" w:color="auto" w:fill="FFFFFF" w:themeFill="background1"/>
            <w:tcMar>
              <w:top w:w="58" w:type="dxa"/>
              <w:left w:w="115" w:type="dxa"/>
              <w:bottom w:w="58" w:type="dxa"/>
              <w:right w:w="115" w:type="dxa"/>
            </w:tcMar>
            <w:vAlign w:val="center"/>
          </w:tcPr>
          <w:p w:rsidR="00DB2822" w:rsidRPr="0060096B" w:rsidRDefault="002070A2" w:rsidP="0060096B">
            <w:pPr>
              <w:pStyle w:val="ListParagraph"/>
              <w:widowControl/>
              <w:spacing w:after="0"/>
              <w:ind w:left="0"/>
              <w:contextualSpacing w:val="0"/>
              <w:jc w:val="center"/>
              <w:rPr>
                <w:sz w:val="20"/>
              </w:rPr>
            </w:pPr>
            <w:r>
              <w:rPr>
                <w:sz w:val="20"/>
              </w:rPr>
              <w:t>—</w:t>
            </w:r>
          </w:p>
        </w:tc>
        <w:tc>
          <w:tcPr>
            <w:tcW w:w="1886" w:type="dxa"/>
            <w:tcBorders>
              <w:bottom w:val="single" w:sz="4" w:space="0" w:color="auto"/>
            </w:tcBorders>
            <w:shd w:val="clear" w:color="auto" w:fill="FFFFFF" w:themeFill="background1"/>
          </w:tcPr>
          <w:p w:rsidR="00DB2822" w:rsidRPr="00735BFF" w:rsidRDefault="002070A2" w:rsidP="00735BFF">
            <w:pPr>
              <w:pStyle w:val="ListParagraph"/>
              <w:spacing w:after="0"/>
              <w:ind w:left="0"/>
              <w:contextualSpacing w:val="0"/>
              <w:jc w:val="center"/>
              <w:rPr>
                <w:sz w:val="20"/>
              </w:rPr>
            </w:pPr>
            <w:r>
              <w:rPr>
                <w:sz w:val="20"/>
              </w:rPr>
              <w:t>—</w:t>
            </w:r>
          </w:p>
        </w:tc>
        <w:tc>
          <w:tcPr>
            <w:tcW w:w="2004" w:type="dxa"/>
            <w:tcBorders>
              <w:bottom w:val="single" w:sz="4" w:space="0" w:color="auto"/>
            </w:tcBorders>
            <w:shd w:val="clear" w:color="auto" w:fill="FFFFFF" w:themeFill="background1"/>
          </w:tcPr>
          <w:p w:rsidR="00DB2822" w:rsidRDefault="002070A2" w:rsidP="00735BFF">
            <w:pPr>
              <w:pStyle w:val="ListParagraph"/>
              <w:spacing w:after="0"/>
              <w:ind w:left="0"/>
              <w:contextualSpacing w:val="0"/>
              <w:jc w:val="center"/>
              <w:rPr>
                <w:sz w:val="20"/>
              </w:rPr>
            </w:pPr>
            <w:r>
              <w:rPr>
                <w:sz w:val="20"/>
              </w:rPr>
              <w:t>—</w:t>
            </w:r>
          </w:p>
        </w:tc>
      </w:tr>
    </w:tbl>
    <w:p w:rsidR="00CB2509" w:rsidRPr="00CB2509" w:rsidRDefault="00CB2509" w:rsidP="00B97DCE">
      <w:pPr>
        <w:pStyle w:val="ListParagraph"/>
        <w:widowControl/>
        <w:tabs>
          <w:tab w:val="left" w:pos="360"/>
        </w:tabs>
        <w:spacing w:before="100" w:after="60"/>
        <w:ind w:left="360" w:hanging="450"/>
        <w:contextualSpacing w:val="0"/>
        <w:jc w:val="left"/>
        <w:rPr>
          <w:sz w:val="20"/>
        </w:rPr>
      </w:pPr>
      <w:r w:rsidRPr="00CB2509">
        <w:rPr>
          <w:sz w:val="20"/>
        </w:rPr>
        <w:t>(</w:t>
      </w:r>
      <w:r w:rsidR="00DD48AE">
        <w:rPr>
          <w:sz w:val="20"/>
        </w:rPr>
        <w:t>1</w:t>
      </w:r>
      <w:r w:rsidRPr="00CB2509">
        <w:rPr>
          <w:sz w:val="20"/>
        </w:rPr>
        <w:t>)</w:t>
      </w:r>
      <w:r w:rsidRPr="00CB2509">
        <w:rPr>
          <w:sz w:val="20"/>
        </w:rPr>
        <w:tab/>
        <w:t xml:space="preserve">All </w:t>
      </w:r>
      <w:r w:rsidR="00CC02C3">
        <w:rPr>
          <w:sz w:val="20"/>
        </w:rPr>
        <w:t xml:space="preserve">of the </w:t>
      </w:r>
      <w:r w:rsidRPr="00CB2509">
        <w:rPr>
          <w:sz w:val="20"/>
        </w:rPr>
        <w:t xml:space="preserve">shares </w:t>
      </w:r>
      <w:r w:rsidR="007B04C3">
        <w:rPr>
          <w:sz w:val="20"/>
        </w:rPr>
        <w:t xml:space="preserve">of </w:t>
      </w:r>
      <w:r w:rsidR="007434AD">
        <w:rPr>
          <w:sz w:val="20"/>
        </w:rPr>
        <w:t xml:space="preserve">restricted </w:t>
      </w:r>
      <w:r w:rsidR="007B04C3">
        <w:rPr>
          <w:sz w:val="20"/>
        </w:rPr>
        <w:t xml:space="preserve"> stock </w:t>
      </w:r>
      <w:r w:rsidR="007434AD">
        <w:rPr>
          <w:sz w:val="20"/>
        </w:rPr>
        <w:t xml:space="preserve">and </w:t>
      </w:r>
      <w:r w:rsidR="00CF43C9">
        <w:rPr>
          <w:sz w:val="20"/>
        </w:rPr>
        <w:t xml:space="preserve">restricted stock units </w:t>
      </w:r>
      <w:r w:rsidRPr="00CB2509">
        <w:rPr>
          <w:sz w:val="20"/>
        </w:rPr>
        <w:t xml:space="preserve">in the table </w:t>
      </w:r>
      <w:r w:rsidR="00FC6E1E">
        <w:rPr>
          <w:sz w:val="20"/>
        </w:rPr>
        <w:t>were issued by the Company</w:t>
      </w:r>
      <w:r w:rsidR="00CF43C9">
        <w:rPr>
          <w:sz w:val="20"/>
        </w:rPr>
        <w:t>.</w:t>
      </w:r>
      <w:r w:rsidR="008B6972">
        <w:rPr>
          <w:sz w:val="20"/>
        </w:rPr>
        <w:t xml:space="preserve">  </w:t>
      </w:r>
      <w:r w:rsidR="004A4806">
        <w:rPr>
          <w:sz w:val="20"/>
        </w:rPr>
        <w:t>All of the shares of restricted stock</w:t>
      </w:r>
      <w:r w:rsidR="004A4806" w:rsidRPr="00A355B7">
        <w:rPr>
          <w:sz w:val="20"/>
        </w:rPr>
        <w:t xml:space="preserve"> vest in full if</w:t>
      </w:r>
      <w:r w:rsidR="004A4806">
        <w:rPr>
          <w:sz w:val="20"/>
        </w:rPr>
        <w:t xml:space="preserve"> the executive's </w:t>
      </w:r>
      <w:r w:rsidR="004A4806" w:rsidRPr="00A355B7">
        <w:rPr>
          <w:sz w:val="20"/>
        </w:rPr>
        <w:t>employment is terminated by the Company without cause, or upon a change in control of the Compan</w:t>
      </w:r>
      <w:r w:rsidR="004A4806">
        <w:rPr>
          <w:sz w:val="20"/>
        </w:rPr>
        <w:t xml:space="preserve">y.  </w:t>
      </w:r>
    </w:p>
    <w:p w:rsidR="00DD48AE" w:rsidRDefault="00DD48AE" w:rsidP="00B97DCE">
      <w:pPr>
        <w:pStyle w:val="ListParagraph"/>
        <w:widowControl/>
        <w:tabs>
          <w:tab w:val="left" w:pos="360"/>
        </w:tabs>
        <w:spacing w:after="60"/>
        <w:ind w:left="360" w:hanging="450"/>
        <w:contextualSpacing w:val="0"/>
        <w:jc w:val="left"/>
        <w:rPr>
          <w:sz w:val="20"/>
        </w:rPr>
      </w:pPr>
      <w:r>
        <w:rPr>
          <w:sz w:val="20"/>
        </w:rPr>
        <w:t>(2)</w:t>
      </w:r>
      <w:r>
        <w:rPr>
          <w:sz w:val="20"/>
        </w:rPr>
        <w:tab/>
      </w:r>
      <w:r w:rsidR="00B92A79">
        <w:rPr>
          <w:sz w:val="20"/>
        </w:rPr>
        <w:t>T</w:t>
      </w:r>
      <w:r>
        <w:rPr>
          <w:sz w:val="20"/>
        </w:rPr>
        <w:t>his amount</w:t>
      </w:r>
      <w:r w:rsidR="00B92A79">
        <w:rPr>
          <w:sz w:val="20"/>
        </w:rPr>
        <w:t xml:space="preserve"> is based on</w:t>
      </w:r>
      <w:r>
        <w:rPr>
          <w:sz w:val="20"/>
        </w:rPr>
        <w:t xml:space="preserve"> the </w:t>
      </w:r>
      <w:r w:rsidR="00B92A79">
        <w:rPr>
          <w:sz w:val="20"/>
        </w:rPr>
        <w:t>$</w:t>
      </w:r>
      <w:r w:rsidR="0068043C">
        <w:rPr>
          <w:sz w:val="20"/>
        </w:rPr>
        <w:t>6.08</w:t>
      </w:r>
      <w:r w:rsidR="00B92A79">
        <w:rPr>
          <w:sz w:val="20"/>
        </w:rPr>
        <w:t xml:space="preserve"> </w:t>
      </w:r>
      <w:r>
        <w:rPr>
          <w:sz w:val="20"/>
        </w:rPr>
        <w:t xml:space="preserve">closing price </w:t>
      </w:r>
      <w:r w:rsidR="002D3E4C">
        <w:rPr>
          <w:sz w:val="20"/>
        </w:rPr>
        <w:t xml:space="preserve">per share </w:t>
      </w:r>
      <w:r>
        <w:rPr>
          <w:sz w:val="20"/>
        </w:rPr>
        <w:t xml:space="preserve">of the </w:t>
      </w:r>
      <w:r w:rsidR="002D3E4C">
        <w:rPr>
          <w:sz w:val="20"/>
        </w:rPr>
        <w:t xml:space="preserve">Company's </w:t>
      </w:r>
      <w:r>
        <w:rPr>
          <w:sz w:val="20"/>
        </w:rPr>
        <w:t>c</w:t>
      </w:r>
      <w:r w:rsidR="0068043C">
        <w:rPr>
          <w:sz w:val="20"/>
        </w:rPr>
        <w:t>ommon stock on December 31, 2015</w:t>
      </w:r>
      <w:r>
        <w:rPr>
          <w:sz w:val="20"/>
        </w:rPr>
        <w:t xml:space="preserve">.  </w:t>
      </w:r>
    </w:p>
    <w:p w:rsidR="008B23B5" w:rsidRDefault="00DD48AE" w:rsidP="00B97DCE">
      <w:pPr>
        <w:pStyle w:val="ListParagraph"/>
        <w:widowControl/>
        <w:tabs>
          <w:tab w:val="left" w:pos="360"/>
        </w:tabs>
        <w:spacing w:after="60"/>
        <w:ind w:left="360" w:hanging="450"/>
        <w:contextualSpacing w:val="0"/>
        <w:jc w:val="left"/>
        <w:rPr>
          <w:sz w:val="20"/>
        </w:rPr>
      </w:pPr>
      <w:r>
        <w:rPr>
          <w:sz w:val="20"/>
        </w:rPr>
        <w:t>(3</w:t>
      </w:r>
      <w:r w:rsidR="00AD537E" w:rsidRPr="007113FF">
        <w:rPr>
          <w:sz w:val="20"/>
        </w:rPr>
        <w:t>)</w:t>
      </w:r>
      <w:r w:rsidR="00AD537E" w:rsidRPr="007113FF">
        <w:rPr>
          <w:sz w:val="20"/>
        </w:rPr>
        <w:tab/>
      </w:r>
      <w:r w:rsidR="00276BA0">
        <w:rPr>
          <w:sz w:val="20"/>
        </w:rPr>
        <w:t xml:space="preserve">Mr. Varello's </w:t>
      </w:r>
      <w:r w:rsidR="005C6011">
        <w:rPr>
          <w:sz w:val="20"/>
        </w:rPr>
        <w:t>shares of</w:t>
      </w:r>
      <w:r w:rsidR="008B23B5">
        <w:rPr>
          <w:sz w:val="20"/>
        </w:rPr>
        <w:t xml:space="preserve"> restricted stock </w:t>
      </w:r>
      <w:r w:rsidR="00276BA0">
        <w:rPr>
          <w:sz w:val="20"/>
        </w:rPr>
        <w:t>vest in three equal installments on March 9, 2016, 2017 and 2018.</w:t>
      </w:r>
    </w:p>
    <w:p w:rsidR="008B23B5" w:rsidRDefault="005538E4" w:rsidP="00B97DCE">
      <w:pPr>
        <w:pStyle w:val="ListParagraph"/>
        <w:widowControl/>
        <w:tabs>
          <w:tab w:val="left" w:pos="360"/>
        </w:tabs>
        <w:spacing w:after="60"/>
        <w:ind w:left="360" w:hanging="450"/>
        <w:contextualSpacing w:val="0"/>
        <w:jc w:val="left"/>
        <w:rPr>
          <w:sz w:val="20"/>
        </w:rPr>
      </w:pPr>
      <w:r>
        <w:rPr>
          <w:sz w:val="20"/>
        </w:rPr>
        <w:t>(</w:t>
      </w:r>
      <w:r w:rsidR="00DD48AE">
        <w:rPr>
          <w:sz w:val="20"/>
        </w:rPr>
        <w:t>4</w:t>
      </w:r>
      <w:r w:rsidRPr="007113FF">
        <w:rPr>
          <w:sz w:val="20"/>
        </w:rPr>
        <w:t>)</w:t>
      </w:r>
      <w:r w:rsidRPr="007113FF">
        <w:rPr>
          <w:sz w:val="20"/>
        </w:rPr>
        <w:tab/>
      </w:r>
      <w:r w:rsidR="00276BA0">
        <w:rPr>
          <w:sz w:val="20"/>
        </w:rPr>
        <w:t xml:space="preserve">Mr. Ballschmiede's </w:t>
      </w:r>
      <w:r w:rsidR="005C6011">
        <w:rPr>
          <w:sz w:val="20"/>
        </w:rPr>
        <w:t>shares of</w:t>
      </w:r>
      <w:r w:rsidR="00A01A4B">
        <w:rPr>
          <w:sz w:val="20"/>
        </w:rPr>
        <w:t xml:space="preserve"> restricted stock</w:t>
      </w:r>
      <w:r w:rsidR="005C6011">
        <w:rPr>
          <w:sz w:val="20"/>
        </w:rPr>
        <w:t xml:space="preserve"> vest</w:t>
      </w:r>
      <w:r w:rsidR="008B23B5">
        <w:rPr>
          <w:sz w:val="20"/>
        </w:rPr>
        <w:t xml:space="preserve"> </w:t>
      </w:r>
      <w:r w:rsidR="00276BA0">
        <w:rPr>
          <w:sz w:val="20"/>
        </w:rPr>
        <w:t>in two equal installments on November 9, 2016 and 2017.</w:t>
      </w:r>
    </w:p>
    <w:p w:rsidR="002B52E6" w:rsidRDefault="005538E4" w:rsidP="00B97DCE">
      <w:pPr>
        <w:pStyle w:val="ListParagraph"/>
        <w:widowControl/>
        <w:tabs>
          <w:tab w:val="left" w:pos="360"/>
        </w:tabs>
        <w:spacing w:after="60"/>
        <w:ind w:left="360" w:hanging="450"/>
        <w:contextualSpacing w:val="0"/>
        <w:jc w:val="left"/>
        <w:rPr>
          <w:sz w:val="20"/>
        </w:rPr>
      </w:pPr>
      <w:r w:rsidRPr="007113FF">
        <w:rPr>
          <w:sz w:val="20"/>
        </w:rPr>
        <w:t>(</w:t>
      </w:r>
      <w:r w:rsidR="00DD48AE">
        <w:rPr>
          <w:sz w:val="20"/>
        </w:rPr>
        <w:t>5</w:t>
      </w:r>
      <w:r w:rsidRPr="007113FF">
        <w:rPr>
          <w:sz w:val="20"/>
        </w:rPr>
        <w:t>)</w:t>
      </w:r>
      <w:r w:rsidRPr="007113FF">
        <w:rPr>
          <w:sz w:val="20"/>
        </w:rPr>
        <w:tab/>
      </w:r>
      <w:r w:rsidR="008828F9">
        <w:rPr>
          <w:sz w:val="20"/>
        </w:rPr>
        <w:t xml:space="preserve">Mr. </w:t>
      </w:r>
      <w:r w:rsidR="00276BA0">
        <w:rPr>
          <w:sz w:val="20"/>
        </w:rPr>
        <w:t xml:space="preserve">Blair's </w:t>
      </w:r>
      <w:r w:rsidR="008828F9">
        <w:rPr>
          <w:sz w:val="20"/>
        </w:rPr>
        <w:t xml:space="preserve">shares </w:t>
      </w:r>
      <w:r w:rsidR="005C6011">
        <w:rPr>
          <w:sz w:val="20"/>
        </w:rPr>
        <w:t xml:space="preserve">of restricted stock </w:t>
      </w:r>
      <w:r w:rsidR="00276BA0">
        <w:rPr>
          <w:sz w:val="20"/>
        </w:rPr>
        <w:t xml:space="preserve">vest </w:t>
      </w:r>
      <w:r w:rsidR="00B97DCE">
        <w:rPr>
          <w:sz w:val="20"/>
        </w:rPr>
        <w:t xml:space="preserve">or vested </w:t>
      </w:r>
      <w:r w:rsidR="002B52E6">
        <w:rPr>
          <w:sz w:val="20"/>
        </w:rPr>
        <w:t>as follows</w:t>
      </w:r>
    </w:p>
    <w:p w:rsidR="002B52E6" w:rsidRDefault="00B97DCE" w:rsidP="00B97DCE">
      <w:pPr>
        <w:pStyle w:val="ListParagraph"/>
        <w:widowControl/>
        <w:tabs>
          <w:tab w:val="left" w:pos="1080"/>
        </w:tabs>
        <w:spacing w:after="60"/>
        <w:contextualSpacing w:val="0"/>
        <w:jc w:val="left"/>
        <w:rPr>
          <w:sz w:val="20"/>
        </w:rPr>
      </w:pPr>
      <w:r>
        <w:rPr>
          <w:sz w:val="20"/>
        </w:rPr>
        <w:t xml:space="preserve">   </w:t>
      </w:r>
      <w:r w:rsidR="002B52E6">
        <w:rPr>
          <w:sz w:val="20"/>
        </w:rPr>
        <w:t>789 shares on March 10, 2016</w:t>
      </w:r>
    </w:p>
    <w:p w:rsidR="002B52E6" w:rsidRDefault="002B52E6" w:rsidP="00B97DCE">
      <w:pPr>
        <w:pStyle w:val="ListParagraph"/>
        <w:widowControl/>
        <w:tabs>
          <w:tab w:val="left" w:pos="1080"/>
        </w:tabs>
        <w:spacing w:after="60"/>
        <w:contextualSpacing w:val="0"/>
        <w:jc w:val="left"/>
        <w:rPr>
          <w:sz w:val="20"/>
        </w:rPr>
      </w:pPr>
      <w:r>
        <w:rPr>
          <w:sz w:val="20"/>
        </w:rPr>
        <w:t>1,031 shares on May 8, 2017</w:t>
      </w:r>
    </w:p>
    <w:p w:rsidR="00276BA0" w:rsidRDefault="002B52E6" w:rsidP="00B97DCE">
      <w:pPr>
        <w:pStyle w:val="ListParagraph"/>
        <w:widowControl/>
        <w:tabs>
          <w:tab w:val="left" w:pos="1080"/>
        </w:tabs>
        <w:spacing w:after="60"/>
        <w:contextualSpacing w:val="0"/>
        <w:jc w:val="left"/>
        <w:rPr>
          <w:sz w:val="20"/>
        </w:rPr>
      </w:pPr>
      <w:r>
        <w:rPr>
          <w:sz w:val="20"/>
        </w:rPr>
        <w:t xml:space="preserve">3,971 shares </w:t>
      </w:r>
      <w:r w:rsidR="00276BA0">
        <w:rPr>
          <w:sz w:val="20"/>
        </w:rPr>
        <w:t>on December 31, 2017.</w:t>
      </w:r>
    </w:p>
    <w:p w:rsidR="005E228F" w:rsidRDefault="005E228F" w:rsidP="00CF4EF5">
      <w:pPr>
        <w:pStyle w:val="ListParagraph"/>
        <w:keepNext/>
        <w:widowControl/>
        <w:spacing w:before="100" w:after="60"/>
        <w:ind w:left="0"/>
        <w:contextualSpacing w:val="0"/>
        <w:jc w:val="left"/>
      </w:pPr>
      <w:bookmarkStart w:id="112" w:name="_Toc381354156"/>
      <w:bookmarkStart w:id="113" w:name="_Toc445739599"/>
      <w:r w:rsidRPr="00C12BAD">
        <w:rPr>
          <w:rStyle w:val="003ProxyChar"/>
        </w:rPr>
        <w:t>Equity Compensation Plan Information</w:t>
      </w:r>
      <w:bookmarkEnd w:id="112"/>
      <w:bookmarkEnd w:id="113"/>
      <w:r w:rsidRPr="00CF1400">
        <w:t>.  The following table contains information at December</w:t>
      </w:r>
      <w:r>
        <w:t> </w:t>
      </w:r>
      <w:r w:rsidRPr="00CF1400">
        <w:t>31, 201</w:t>
      </w:r>
      <w:r w:rsidR="00440B3A">
        <w:t>5</w:t>
      </w:r>
      <w:r w:rsidRPr="00CF1400">
        <w:t xml:space="preserve"> about compensation plans (including individual compensation arrangements) under which the Company has authorized the issuance of equity securities.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43" w:type="dxa"/>
          <w:right w:w="115" w:type="dxa"/>
        </w:tblCellMar>
        <w:tblLook w:val="04A0" w:firstRow="1" w:lastRow="0" w:firstColumn="1" w:lastColumn="0" w:noHBand="0" w:noVBand="1"/>
      </w:tblPr>
      <w:tblGrid>
        <w:gridCol w:w="2725"/>
        <w:gridCol w:w="2070"/>
        <w:gridCol w:w="1800"/>
        <w:gridCol w:w="2970"/>
      </w:tblGrid>
      <w:tr w:rsidR="005E228F" w:rsidTr="0002782B">
        <w:trPr>
          <w:cantSplit/>
        </w:trPr>
        <w:tc>
          <w:tcPr>
            <w:tcW w:w="2725" w:type="dxa"/>
            <w:tcBorders>
              <w:bottom w:val="single" w:sz="4" w:space="0" w:color="auto"/>
            </w:tcBorders>
            <w:tcMar>
              <w:top w:w="58" w:type="dxa"/>
              <w:left w:w="115" w:type="dxa"/>
              <w:bottom w:w="29" w:type="dxa"/>
              <w:right w:w="115" w:type="dxa"/>
            </w:tcMar>
            <w:vAlign w:val="bottom"/>
          </w:tcPr>
          <w:p w:rsidR="005E228F" w:rsidRPr="009F1D4F" w:rsidRDefault="005E228F" w:rsidP="00142ABB">
            <w:pPr>
              <w:pStyle w:val="ListParagraph"/>
              <w:widowControl/>
              <w:spacing w:after="0"/>
              <w:ind w:left="0"/>
              <w:contextualSpacing w:val="0"/>
              <w:jc w:val="center"/>
              <w:rPr>
                <w:b/>
                <w:sz w:val="18"/>
                <w:szCs w:val="18"/>
              </w:rPr>
            </w:pPr>
            <w:r w:rsidRPr="009F1D4F">
              <w:rPr>
                <w:b/>
                <w:sz w:val="18"/>
                <w:szCs w:val="18"/>
              </w:rPr>
              <w:t>Plan Category</w:t>
            </w:r>
          </w:p>
        </w:tc>
        <w:tc>
          <w:tcPr>
            <w:tcW w:w="207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Number of Securities to be issued upon exercise of outstanding options, warrants and rights</w:t>
            </w:r>
          </w:p>
          <w:p w:rsidR="005E228F" w:rsidRPr="009F1D4F" w:rsidRDefault="005E228F" w:rsidP="009E7019">
            <w:pPr>
              <w:pStyle w:val="ListParagraph"/>
              <w:widowControl/>
              <w:spacing w:after="0"/>
              <w:ind w:left="0"/>
              <w:contextualSpacing w:val="0"/>
              <w:jc w:val="center"/>
              <w:rPr>
                <w:b/>
                <w:sz w:val="18"/>
                <w:szCs w:val="18"/>
              </w:rPr>
            </w:pPr>
            <w:r w:rsidRPr="009F1D4F">
              <w:rPr>
                <w:b/>
                <w:sz w:val="18"/>
                <w:szCs w:val="18"/>
              </w:rPr>
              <w:t>(a)</w:t>
            </w:r>
          </w:p>
        </w:tc>
        <w:tc>
          <w:tcPr>
            <w:tcW w:w="180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Weighted-average</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exercise price of outstanding options,</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warrants and rights</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(b)</w:t>
            </w:r>
          </w:p>
        </w:tc>
        <w:tc>
          <w:tcPr>
            <w:tcW w:w="2970" w:type="dxa"/>
            <w:tcBorders>
              <w:bottom w:val="single" w:sz="4" w:space="0" w:color="auto"/>
            </w:tcBorders>
            <w:tcMar>
              <w:top w:w="58" w:type="dxa"/>
              <w:left w:w="115" w:type="dxa"/>
              <w:bottom w:w="29" w:type="dxa"/>
              <w:right w:w="115" w:type="dxa"/>
            </w:tcMar>
            <w:vAlign w:val="bottom"/>
          </w:tcPr>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Number of securities remaining available for future issuance under equity compensation plans, excluding securities reflected in</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column (a)</w:t>
            </w:r>
          </w:p>
          <w:p w:rsidR="005E228F" w:rsidRPr="009F1D4F" w:rsidRDefault="005E228F" w:rsidP="009E7019">
            <w:pPr>
              <w:pStyle w:val="ListParagraph"/>
              <w:widowControl/>
              <w:spacing w:after="0"/>
              <w:ind w:left="36"/>
              <w:contextualSpacing w:val="0"/>
              <w:jc w:val="center"/>
              <w:rPr>
                <w:b/>
                <w:sz w:val="18"/>
                <w:szCs w:val="18"/>
              </w:rPr>
            </w:pPr>
            <w:r w:rsidRPr="009F1D4F">
              <w:rPr>
                <w:b/>
                <w:sz w:val="18"/>
                <w:szCs w:val="18"/>
              </w:rPr>
              <w:t>(c)</w:t>
            </w:r>
          </w:p>
        </w:tc>
      </w:tr>
      <w:tr w:rsidR="005E228F" w:rsidTr="00142ABB">
        <w:tc>
          <w:tcPr>
            <w:tcW w:w="2725"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Equity compensation plans approved by security holders:</w:t>
            </w:r>
          </w:p>
        </w:tc>
        <w:tc>
          <w:tcPr>
            <w:tcW w:w="207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-0-</w:t>
            </w:r>
          </w:p>
        </w:tc>
        <w:tc>
          <w:tcPr>
            <w:tcW w:w="1800" w:type="dxa"/>
            <w:tcBorders>
              <w:top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top w:val="single" w:sz="4" w:space="0" w:color="auto"/>
            </w:tcBorders>
            <w:shd w:val="clear" w:color="auto" w:fill="auto"/>
            <w:tcMar>
              <w:top w:w="58" w:type="dxa"/>
              <w:left w:w="115" w:type="dxa"/>
              <w:bottom w:w="58" w:type="dxa"/>
              <w:right w:w="115" w:type="dxa"/>
            </w:tcMar>
            <w:vAlign w:val="bottom"/>
          </w:tcPr>
          <w:p w:rsidR="005E228F" w:rsidRPr="00D17CE7" w:rsidRDefault="00AE3337" w:rsidP="009E7019">
            <w:pPr>
              <w:pStyle w:val="ListParagraph"/>
              <w:widowControl/>
              <w:spacing w:after="0"/>
              <w:ind w:left="0"/>
              <w:contextualSpacing w:val="0"/>
              <w:jc w:val="center"/>
              <w:rPr>
                <w:sz w:val="20"/>
              </w:rPr>
            </w:pPr>
            <w:r w:rsidRPr="00AE3337">
              <w:rPr>
                <w:sz w:val="20"/>
              </w:rPr>
              <w:t>646,886</w:t>
            </w:r>
          </w:p>
        </w:tc>
      </w:tr>
      <w:tr w:rsidR="005E228F" w:rsidTr="0002782B">
        <w:tc>
          <w:tcPr>
            <w:tcW w:w="2725"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left"/>
              <w:rPr>
                <w:sz w:val="20"/>
              </w:rPr>
            </w:pPr>
            <w:r w:rsidRPr="00A3569E">
              <w:rPr>
                <w:sz w:val="20"/>
              </w:rPr>
              <w:t xml:space="preserve">Equity compensation plans </w:t>
            </w:r>
            <w:r w:rsidRPr="00052779">
              <w:rPr>
                <w:i/>
                <w:sz w:val="20"/>
              </w:rPr>
              <w:t>not</w:t>
            </w:r>
            <w:r w:rsidRPr="00A3569E">
              <w:rPr>
                <w:sz w:val="20"/>
              </w:rPr>
              <w:t xml:space="preserve"> approved by security holders:</w:t>
            </w:r>
          </w:p>
        </w:tc>
        <w:tc>
          <w:tcPr>
            <w:tcW w:w="207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None</w:t>
            </w:r>
          </w:p>
        </w:tc>
        <w:tc>
          <w:tcPr>
            <w:tcW w:w="180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c>
          <w:tcPr>
            <w:tcW w:w="2970" w:type="dxa"/>
            <w:tcBorders>
              <w:bottom w:val="single" w:sz="4" w:space="0" w:color="auto"/>
            </w:tcBorders>
            <w:tcMar>
              <w:top w:w="58" w:type="dxa"/>
              <w:left w:w="115" w:type="dxa"/>
              <w:bottom w:w="58" w:type="dxa"/>
              <w:right w:w="115" w:type="dxa"/>
            </w:tcMar>
            <w:vAlign w:val="bottom"/>
          </w:tcPr>
          <w:p w:rsidR="005E228F" w:rsidRPr="00317C78" w:rsidRDefault="005E228F" w:rsidP="009E7019">
            <w:pPr>
              <w:pStyle w:val="ListParagraph"/>
              <w:widowControl/>
              <w:spacing w:after="0"/>
              <w:ind w:left="0"/>
              <w:contextualSpacing w:val="0"/>
              <w:jc w:val="center"/>
              <w:rPr>
                <w:sz w:val="20"/>
              </w:rPr>
            </w:pPr>
            <w:r>
              <w:rPr>
                <w:sz w:val="20"/>
              </w:rPr>
              <w:t>N/A</w:t>
            </w:r>
          </w:p>
        </w:tc>
      </w:tr>
    </w:tbl>
    <w:p w:rsidR="00AE3561" w:rsidRDefault="00AE3561">
      <w:pPr>
        <w:widowControl/>
        <w:spacing w:after="0"/>
        <w:jc w:val="left"/>
        <w:rPr>
          <w:b/>
        </w:rPr>
      </w:pPr>
      <w:bookmarkStart w:id="114" w:name="_Toc381354157"/>
      <w:r>
        <w:br w:type="page"/>
      </w:r>
    </w:p>
    <w:p w:rsidR="006B10DA" w:rsidRDefault="006B10DA" w:rsidP="008E0354">
      <w:pPr>
        <w:pStyle w:val="001Proxy"/>
        <w:keepNext/>
        <w:keepLines/>
        <w:pBdr>
          <w:bottom w:val="single" w:sz="12" w:space="1" w:color="auto"/>
        </w:pBdr>
        <w:spacing w:before="0" w:after="240"/>
      </w:pPr>
      <w:bookmarkStart w:id="115" w:name="_Toc445739600"/>
      <w:r w:rsidRPr="006B10DA">
        <w:lastRenderedPageBreak/>
        <w:t>PERFORMANCE GRAPH</w:t>
      </w:r>
      <w:bookmarkEnd w:id="114"/>
      <w:bookmarkEnd w:id="115"/>
    </w:p>
    <w:p w:rsidR="006B10DA" w:rsidRDefault="006B10DA" w:rsidP="000F47A7">
      <w:pPr>
        <w:keepNext/>
        <w:keepLines/>
        <w:widowControl/>
        <w:tabs>
          <w:tab w:val="left" w:pos="720"/>
        </w:tabs>
        <w:spacing w:before="100" w:after="0"/>
        <w:jc w:val="left"/>
      </w:pPr>
      <w:r>
        <w:t>The following graph compares the percentage change in the Company's cumulative total stockholder return on its common stock for the last five years with the Dow Jones US Index, a broad market index, and the Dow Jones US Heavy Construction Index, a group of companies whose marketing strategy is focused on a limited product line, such as civil construction.  Both indices are published in The Wall Street Journal.  The returns are calculated assuming that an investment with a value of $100 was made in the Company's common stock and in each index at the end of 200</w:t>
      </w:r>
      <w:r w:rsidR="005E4F83">
        <w:t>9</w:t>
      </w:r>
      <w:r>
        <w:t>, and that all dividends were reinvested in additional shares of common stock, although the Company has paid no dividends during the periods shown.  The graph lines merely connect the measuring dates</w:t>
      </w:r>
      <w:r w:rsidR="00B75092">
        <w:t>,</w:t>
      </w:r>
      <w:r>
        <w:t xml:space="preserve"> and do not reflect fluctuations between those dates.  The stock performance shown on the graph is not intended to be indicative of future stock performance.  </w:t>
      </w:r>
    </w:p>
    <w:p w:rsidR="000F47A7" w:rsidRDefault="008E0354" w:rsidP="008E0354">
      <w:pPr>
        <w:keepNext/>
        <w:keepLines/>
        <w:widowControl/>
        <w:tabs>
          <w:tab w:val="left" w:pos="720"/>
        </w:tabs>
        <w:spacing w:after="0"/>
        <w:jc w:val="left"/>
      </w:pPr>
      <w:r>
        <w:rPr>
          <w:noProof/>
          <w:snapToGrid/>
        </w:rPr>
        <w:drawing>
          <wp:inline distT="0" distB="0" distL="0" distR="0" wp14:anchorId="2A5367A9" wp14:editId="71EF9FFE">
            <wp:extent cx="5556250" cy="4432300"/>
            <wp:effectExtent l="0" t="0" r="635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5"/>
        <w:gridCol w:w="1012"/>
        <w:gridCol w:w="1072"/>
        <w:gridCol w:w="1012"/>
        <w:gridCol w:w="1012"/>
        <w:gridCol w:w="1017"/>
        <w:gridCol w:w="1012"/>
      </w:tblGrid>
      <w:tr w:rsidR="000250C8" w:rsidTr="004B73B8">
        <w:tc>
          <w:tcPr>
            <w:tcW w:w="3635" w:type="dxa"/>
            <w:tcBorders>
              <w:bottom w:val="single" w:sz="4" w:space="0" w:color="auto"/>
            </w:tcBorders>
            <w:tcMar>
              <w:top w:w="58" w:type="dxa"/>
              <w:left w:w="115" w:type="dxa"/>
              <w:bottom w:w="58" w:type="dxa"/>
              <w:right w:w="115" w:type="dxa"/>
            </w:tcMar>
          </w:tcPr>
          <w:p w:rsidR="000250C8" w:rsidRDefault="000250C8" w:rsidP="00075F08">
            <w:pPr>
              <w:widowControl/>
              <w:tabs>
                <w:tab w:val="left" w:pos="720"/>
              </w:tabs>
              <w:spacing w:after="0"/>
              <w:jc w:val="center"/>
              <w:rPr>
                <w:b/>
                <w:sz w:val="18"/>
                <w:szCs w:val="18"/>
              </w:rPr>
            </w:pPr>
          </w:p>
          <w:p w:rsidR="000F47A7" w:rsidRPr="000250C8" w:rsidRDefault="000F47A7" w:rsidP="00075F08">
            <w:pPr>
              <w:widowControl/>
              <w:tabs>
                <w:tab w:val="left" w:pos="720"/>
              </w:tabs>
              <w:spacing w:after="0"/>
              <w:jc w:val="center"/>
              <w:rPr>
                <w:b/>
                <w:sz w:val="18"/>
                <w:szCs w:val="18"/>
              </w:rPr>
            </w:pP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0F47A7">
              <w:rPr>
                <w:b/>
                <w:sz w:val="18"/>
                <w:szCs w:val="18"/>
              </w:rPr>
              <w:t>10</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7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Pr>
                <w:b/>
                <w:sz w:val="18"/>
                <w:szCs w:val="18"/>
              </w:rPr>
              <w:t>December 20</w:t>
            </w:r>
            <w:r w:rsidR="00EE3169">
              <w:rPr>
                <w:b/>
                <w:sz w:val="18"/>
                <w:szCs w:val="18"/>
              </w:rPr>
              <w:t>1</w:t>
            </w:r>
            <w:r w:rsidR="000F47A7">
              <w:rPr>
                <w:b/>
                <w:sz w:val="18"/>
                <w:szCs w:val="18"/>
              </w:rPr>
              <w:t>1</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EE3169" w:rsidP="00075F08">
            <w:pPr>
              <w:widowControl/>
              <w:tabs>
                <w:tab w:val="left" w:pos="720"/>
              </w:tabs>
              <w:spacing w:after="0"/>
              <w:jc w:val="center"/>
              <w:rPr>
                <w:b/>
                <w:sz w:val="18"/>
                <w:szCs w:val="18"/>
              </w:rPr>
            </w:pPr>
            <w:r>
              <w:rPr>
                <w:b/>
                <w:sz w:val="18"/>
                <w:szCs w:val="18"/>
              </w:rPr>
              <w:t>December 201</w:t>
            </w:r>
            <w:r w:rsidR="000F47A7">
              <w:rPr>
                <w:b/>
                <w:sz w:val="18"/>
                <w:szCs w:val="18"/>
              </w:rPr>
              <w:t>2</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w:t>
            </w:r>
            <w:r w:rsidR="000F47A7">
              <w:rPr>
                <w:b/>
                <w:sz w:val="18"/>
                <w:szCs w:val="18"/>
              </w:rPr>
              <w:t>3</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7" w:type="dxa"/>
            <w:tcBorders>
              <w:bottom w:val="single" w:sz="4" w:space="0" w:color="auto"/>
            </w:tcBorders>
            <w:tcMar>
              <w:top w:w="58" w:type="dxa"/>
              <w:left w:w="115" w:type="dxa"/>
              <w:bottom w:w="58" w:type="dxa"/>
              <w:right w:w="115" w:type="dxa"/>
            </w:tcMar>
          </w:tcPr>
          <w:p w:rsidR="000250C8" w:rsidRPr="000250C8" w:rsidRDefault="000250C8" w:rsidP="00075F08">
            <w:pPr>
              <w:widowControl/>
              <w:tabs>
                <w:tab w:val="left" w:pos="720"/>
              </w:tabs>
              <w:spacing w:after="0"/>
              <w:jc w:val="center"/>
              <w:rPr>
                <w:b/>
                <w:sz w:val="18"/>
                <w:szCs w:val="18"/>
              </w:rPr>
            </w:pPr>
            <w:r w:rsidRPr="000250C8">
              <w:rPr>
                <w:b/>
                <w:sz w:val="18"/>
                <w:szCs w:val="18"/>
              </w:rPr>
              <w:t>December 20</w:t>
            </w:r>
            <w:r w:rsidR="00EE3169">
              <w:rPr>
                <w:b/>
                <w:sz w:val="18"/>
                <w:szCs w:val="18"/>
              </w:rPr>
              <w:t>1</w:t>
            </w:r>
            <w:r w:rsidR="000F47A7">
              <w:rPr>
                <w:b/>
                <w:sz w:val="18"/>
                <w:szCs w:val="18"/>
              </w:rPr>
              <w:t>4</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c>
          <w:tcPr>
            <w:tcW w:w="1012" w:type="dxa"/>
            <w:tcBorders>
              <w:bottom w:val="single" w:sz="4" w:space="0" w:color="auto"/>
            </w:tcBorders>
            <w:tcMar>
              <w:top w:w="58" w:type="dxa"/>
              <w:left w:w="115" w:type="dxa"/>
              <w:bottom w:w="58" w:type="dxa"/>
              <w:right w:w="115" w:type="dxa"/>
            </w:tcMar>
          </w:tcPr>
          <w:p w:rsidR="000250C8" w:rsidRPr="000250C8" w:rsidRDefault="000250C8" w:rsidP="00075F08">
            <w:pPr>
              <w:widowControl/>
              <w:spacing w:after="0"/>
              <w:jc w:val="center"/>
              <w:rPr>
                <w:b/>
                <w:sz w:val="18"/>
                <w:szCs w:val="18"/>
              </w:rPr>
            </w:pPr>
            <w:r w:rsidRPr="000250C8">
              <w:rPr>
                <w:b/>
                <w:sz w:val="18"/>
                <w:szCs w:val="18"/>
              </w:rPr>
              <w:t>December 20</w:t>
            </w:r>
            <w:r w:rsidR="00EE3169">
              <w:rPr>
                <w:b/>
                <w:sz w:val="18"/>
                <w:szCs w:val="18"/>
              </w:rPr>
              <w:t>1</w:t>
            </w:r>
            <w:r w:rsidR="000F47A7">
              <w:rPr>
                <w:b/>
                <w:sz w:val="18"/>
                <w:szCs w:val="18"/>
              </w:rPr>
              <w:t>5</w:t>
            </w:r>
          </w:p>
          <w:p w:rsidR="000250C8" w:rsidRPr="000250C8" w:rsidRDefault="000250C8" w:rsidP="00075F08">
            <w:pPr>
              <w:widowControl/>
              <w:tabs>
                <w:tab w:val="left" w:pos="720"/>
              </w:tabs>
              <w:spacing w:after="0"/>
              <w:jc w:val="center"/>
              <w:rPr>
                <w:b/>
                <w:sz w:val="18"/>
                <w:szCs w:val="18"/>
              </w:rPr>
            </w:pPr>
            <w:r w:rsidRPr="000250C8">
              <w:rPr>
                <w:b/>
                <w:sz w:val="18"/>
                <w:szCs w:val="18"/>
              </w:rPr>
              <w:t>($)</w:t>
            </w:r>
          </w:p>
        </w:tc>
      </w:tr>
      <w:tr w:rsidR="004B786B" w:rsidRPr="009F1D4F" w:rsidTr="009070AF">
        <w:tc>
          <w:tcPr>
            <w:tcW w:w="3635" w:type="dxa"/>
            <w:tcBorders>
              <w:top w:val="single" w:sz="4" w:space="0" w:color="auto"/>
            </w:tcBorders>
            <w:shd w:val="clear" w:color="auto" w:fill="C6D9F1" w:themeFill="text2" w:themeFillTint="33"/>
            <w:tcMar>
              <w:top w:w="58" w:type="dxa"/>
              <w:left w:w="115" w:type="dxa"/>
              <w:bottom w:w="58" w:type="dxa"/>
              <w:right w:w="115" w:type="dxa"/>
            </w:tcMar>
          </w:tcPr>
          <w:p w:rsidR="004B786B" w:rsidRPr="009F1D4F" w:rsidRDefault="004B786B" w:rsidP="00075F08">
            <w:pPr>
              <w:widowControl/>
              <w:tabs>
                <w:tab w:val="left" w:pos="720"/>
              </w:tabs>
              <w:spacing w:after="0"/>
              <w:jc w:val="left"/>
              <w:rPr>
                <w:sz w:val="20"/>
              </w:rPr>
            </w:pPr>
            <w:r w:rsidRPr="009F1D4F">
              <w:rPr>
                <w:sz w:val="20"/>
              </w:rPr>
              <w:t>Sterling Construction Company, Inc.</w:t>
            </w:r>
          </w:p>
        </w:tc>
        <w:tc>
          <w:tcPr>
            <w:tcW w:w="1012" w:type="dxa"/>
            <w:tcBorders>
              <w:top w:val="single" w:sz="4" w:space="0" w:color="auto"/>
            </w:tcBorders>
            <w:shd w:val="clear" w:color="auto" w:fill="C6D9F1" w:themeFill="text2" w:themeFillTint="33"/>
            <w:tcMar>
              <w:top w:w="58" w:type="dxa"/>
              <w:left w:w="115" w:type="dxa"/>
              <w:bottom w:w="58" w:type="dxa"/>
              <w:right w:w="115" w:type="dxa"/>
            </w:tcMar>
            <w:vAlign w:val="center"/>
          </w:tcPr>
          <w:p w:rsidR="004B786B" w:rsidRPr="001033DE" w:rsidRDefault="004B786B" w:rsidP="001033DE">
            <w:pPr>
              <w:spacing w:after="0"/>
              <w:jc w:val="center"/>
              <w:rPr>
                <w:sz w:val="20"/>
              </w:rPr>
            </w:pPr>
            <w:r w:rsidRPr="001033DE">
              <w:rPr>
                <w:sz w:val="20"/>
              </w:rPr>
              <w:t>100.00</w:t>
            </w:r>
          </w:p>
        </w:tc>
        <w:tc>
          <w:tcPr>
            <w:tcW w:w="1072" w:type="dxa"/>
            <w:tcBorders>
              <w:top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82.59</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76.23</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89.95</w:t>
            </w:r>
          </w:p>
        </w:tc>
        <w:tc>
          <w:tcPr>
            <w:tcW w:w="1017" w:type="dxa"/>
            <w:tcBorders>
              <w:top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49.00</w:t>
            </w:r>
          </w:p>
        </w:tc>
        <w:tc>
          <w:tcPr>
            <w:tcW w:w="1012" w:type="dxa"/>
            <w:tcBorders>
              <w:top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46.63</w:t>
            </w:r>
          </w:p>
        </w:tc>
      </w:tr>
      <w:tr w:rsidR="004B786B" w:rsidRPr="009F1D4F" w:rsidTr="00B501D4">
        <w:tc>
          <w:tcPr>
            <w:tcW w:w="3635" w:type="dxa"/>
            <w:tcMar>
              <w:top w:w="58" w:type="dxa"/>
              <w:left w:w="115" w:type="dxa"/>
              <w:bottom w:w="58" w:type="dxa"/>
              <w:right w:w="115" w:type="dxa"/>
            </w:tcMar>
          </w:tcPr>
          <w:p w:rsidR="004B786B" w:rsidRPr="009F1D4F" w:rsidRDefault="004B786B" w:rsidP="00075F08">
            <w:pPr>
              <w:widowControl/>
              <w:tabs>
                <w:tab w:val="left" w:pos="720"/>
              </w:tabs>
              <w:spacing w:after="0"/>
              <w:jc w:val="left"/>
              <w:rPr>
                <w:sz w:val="20"/>
              </w:rPr>
            </w:pPr>
            <w:r w:rsidRPr="009F1D4F">
              <w:rPr>
                <w:sz w:val="20"/>
              </w:rPr>
              <w:t xml:space="preserve">Dow Jones US </w:t>
            </w:r>
            <w:r>
              <w:rPr>
                <w:sz w:val="20"/>
              </w:rPr>
              <w:t xml:space="preserve">Total Return </w:t>
            </w:r>
            <w:r w:rsidRPr="009F1D4F">
              <w:rPr>
                <w:sz w:val="20"/>
              </w:rPr>
              <w:t>Index</w:t>
            </w:r>
          </w:p>
        </w:tc>
        <w:tc>
          <w:tcPr>
            <w:tcW w:w="1012" w:type="dxa"/>
            <w:tcMar>
              <w:top w:w="58" w:type="dxa"/>
              <w:left w:w="115" w:type="dxa"/>
              <w:bottom w:w="58" w:type="dxa"/>
              <w:right w:w="115" w:type="dxa"/>
            </w:tcMar>
            <w:vAlign w:val="center"/>
          </w:tcPr>
          <w:p w:rsidR="004B786B" w:rsidRPr="001033DE" w:rsidRDefault="004B786B" w:rsidP="001033DE">
            <w:pPr>
              <w:spacing w:after="0"/>
              <w:jc w:val="center"/>
              <w:rPr>
                <w:sz w:val="20"/>
              </w:rPr>
            </w:pPr>
            <w:r w:rsidRPr="001033DE">
              <w:rPr>
                <w:sz w:val="20"/>
              </w:rPr>
              <w:t>100.00</w:t>
            </w:r>
          </w:p>
        </w:tc>
        <w:tc>
          <w:tcPr>
            <w:tcW w:w="1072" w:type="dxa"/>
            <w:tcMar>
              <w:top w:w="58" w:type="dxa"/>
              <w:left w:w="115" w:type="dxa"/>
              <w:bottom w:w="58" w:type="dxa"/>
              <w:right w:w="115" w:type="dxa"/>
            </w:tcMar>
          </w:tcPr>
          <w:p w:rsidR="004B786B" w:rsidRPr="00C7470F" w:rsidRDefault="004B786B" w:rsidP="00C7470F">
            <w:pPr>
              <w:spacing w:after="0"/>
              <w:rPr>
                <w:sz w:val="20"/>
              </w:rPr>
            </w:pPr>
            <w:r w:rsidRPr="00C7470F">
              <w:rPr>
                <w:sz w:val="20"/>
              </w:rPr>
              <w:t>101.34</w:t>
            </w:r>
          </w:p>
        </w:tc>
        <w:tc>
          <w:tcPr>
            <w:tcW w:w="1012" w:type="dxa"/>
            <w:tcMar>
              <w:top w:w="58" w:type="dxa"/>
              <w:left w:w="115" w:type="dxa"/>
              <w:bottom w:w="58" w:type="dxa"/>
              <w:right w:w="115" w:type="dxa"/>
            </w:tcMar>
          </w:tcPr>
          <w:p w:rsidR="004B786B" w:rsidRPr="00C7470F" w:rsidRDefault="004B786B" w:rsidP="00C7470F">
            <w:pPr>
              <w:spacing w:after="0"/>
              <w:rPr>
                <w:sz w:val="20"/>
              </w:rPr>
            </w:pPr>
            <w:r w:rsidRPr="00C7470F">
              <w:rPr>
                <w:sz w:val="20"/>
              </w:rPr>
              <w:t>117.89</w:t>
            </w:r>
          </w:p>
        </w:tc>
        <w:tc>
          <w:tcPr>
            <w:tcW w:w="1012" w:type="dxa"/>
            <w:tcMar>
              <w:top w:w="58" w:type="dxa"/>
              <w:left w:w="115" w:type="dxa"/>
              <w:bottom w:w="58" w:type="dxa"/>
              <w:right w:w="115" w:type="dxa"/>
            </w:tcMar>
          </w:tcPr>
          <w:p w:rsidR="004B786B" w:rsidRPr="00C7470F" w:rsidRDefault="004B786B" w:rsidP="00C7470F">
            <w:pPr>
              <w:spacing w:after="0"/>
              <w:rPr>
                <w:sz w:val="20"/>
              </w:rPr>
            </w:pPr>
            <w:r w:rsidRPr="00C7470F">
              <w:rPr>
                <w:sz w:val="20"/>
              </w:rPr>
              <w:t>156.76</w:t>
            </w:r>
          </w:p>
        </w:tc>
        <w:tc>
          <w:tcPr>
            <w:tcW w:w="1017" w:type="dxa"/>
            <w:tcMar>
              <w:top w:w="58" w:type="dxa"/>
              <w:left w:w="115" w:type="dxa"/>
              <w:bottom w:w="58" w:type="dxa"/>
              <w:right w:w="115" w:type="dxa"/>
            </w:tcMar>
          </w:tcPr>
          <w:p w:rsidR="004B786B" w:rsidRPr="00C7470F" w:rsidRDefault="004B786B" w:rsidP="00C7470F">
            <w:pPr>
              <w:spacing w:after="0"/>
              <w:rPr>
                <w:sz w:val="20"/>
              </w:rPr>
            </w:pPr>
            <w:r w:rsidRPr="00C7470F">
              <w:rPr>
                <w:sz w:val="20"/>
              </w:rPr>
              <w:t>177.06</w:t>
            </w:r>
          </w:p>
        </w:tc>
        <w:tc>
          <w:tcPr>
            <w:tcW w:w="1012" w:type="dxa"/>
            <w:tcMar>
              <w:top w:w="58" w:type="dxa"/>
              <w:left w:w="115" w:type="dxa"/>
              <w:bottom w:w="58" w:type="dxa"/>
              <w:right w:w="115" w:type="dxa"/>
            </w:tcMar>
          </w:tcPr>
          <w:p w:rsidR="004B786B" w:rsidRPr="00C7470F" w:rsidRDefault="004B786B" w:rsidP="00C7470F">
            <w:pPr>
              <w:spacing w:after="0"/>
              <w:rPr>
                <w:sz w:val="20"/>
              </w:rPr>
            </w:pPr>
            <w:r w:rsidRPr="00C7470F">
              <w:rPr>
                <w:sz w:val="20"/>
              </w:rPr>
              <w:t>178.18</w:t>
            </w:r>
          </w:p>
        </w:tc>
      </w:tr>
      <w:tr w:rsidR="004B786B" w:rsidRPr="009F1D4F" w:rsidTr="009070AF">
        <w:tc>
          <w:tcPr>
            <w:tcW w:w="3635" w:type="dxa"/>
            <w:tcBorders>
              <w:bottom w:val="single" w:sz="4" w:space="0" w:color="auto"/>
            </w:tcBorders>
            <w:shd w:val="clear" w:color="auto" w:fill="C6D9F1" w:themeFill="text2" w:themeFillTint="33"/>
            <w:tcMar>
              <w:top w:w="58" w:type="dxa"/>
              <w:left w:w="115" w:type="dxa"/>
              <w:bottom w:w="58" w:type="dxa"/>
              <w:right w:w="115" w:type="dxa"/>
            </w:tcMar>
          </w:tcPr>
          <w:p w:rsidR="004B786B" w:rsidRPr="009F1D4F" w:rsidRDefault="004B786B" w:rsidP="00075F08">
            <w:pPr>
              <w:widowControl/>
              <w:tabs>
                <w:tab w:val="left" w:pos="720"/>
              </w:tabs>
              <w:spacing w:after="0"/>
              <w:jc w:val="left"/>
              <w:rPr>
                <w:sz w:val="20"/>
              </w:rPr>
            </w:pPr>
            <w:r w:rsidRPr="009F1D4F">
              <w:rPr>
                <w:sz w:val="20"/>
              </w:rPr>
              <w:t>Dow Jones US Heavy Construction Index</w:t>
            </w:r>
          </w:p>
        </w:tc>
        <w:tc>
          <w:tcPr>
            <w:tcW w:w="1012" w:type="dxa"/>
            <w:tcBorders>
              <w:bottom w:val="single" w:sz="4" w:space="0" w:color="auto"/>
            </w:tcBorders>
            <w:shd w:val="clear" w:color="auto" w:fill="C6D9F1" w:themeFill="text2" w:themeFillTint="33"/>
            <w:tcMar>
              <w:top w:w="58" w:type="dxa"/>
              <w:left w:w="115" w:type="dxa"/>
              <w:bottom w:w="58" w:type="dxa"/>
              <w:right w:w="115" w:type="dxa"/>
            </w:tcMar>
            <w:vAlign w:val="center"/>
          </w:tcPr>
          <w:p w:rsidR="004B786B" w:rsidRPr="001033DE" w:rsidRDefault="004B786B" w:rsidP="001033DE">
            <w:pPr>
              <w:spacing w:after="0"/>
              <w:jc w:val="center"/>
              <w:rPr>
                <w:sz w:val="20"/>
              </w:rPr>
            </w:pPr>
            <w:r w:rsidRPr="001033DE">
              <w:rPr>
                <w:sz w:val="20"/>
              </w:rPr>
              <w:t>100.00</w:t>
            </w:r>
          </w:p>
        </w:tc>
        <w:tc>
          <w:tcPr>
            <w:tcW w:w="1072" w:type="dxa"/>
            <w:tcBorders>
              <w:bottom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82.45</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100.11</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131.42</w:t>
            </w:r>
          </w:p>
        </w:tc>
        <w:tc>
          <w:tcPr>
            <w:tcW w:w="1017" w:type="dxa"/>
            <w:tcBorders>
              <w:bottom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97.88</w:t>
            </w:r>
          </w:p>
        </w:tc>
        <w:tc>
          <w:tcPr>
            <w:tcW w:w="1012" w:type="dxa"/>
            <w:tcBorders>
              <w:bottom w:val="single" w:sz="4" w:space="0" w:color="auto"/>
            </w:tcBorders>
            <w:shd w:val="clear" w:color="auto" w:fill="C6D9F1" w:themeFill="text2" w:themeFillTint="33"/>
            <w:tcMar>
              <w:top w:w="58" w:type="dxa"/>
              <w:left w:w="115" w:type="dxa"/>
              <w:bottom w:w="58" w:type="dxa"/>
              <w:right w:w="115" w:type="dxa"/>
            </w:tcMar>
          </w:tcPr>
          <w:p w:rsidR="004B786B" w:rsidRPr="00C7470F" w:rsidRDefault="004B786B" w:rsidP="00C7470F">
            <w:pPr>
              <w:spacing w:after="0"/>
              <w:rPr>
                <w:sz w:val="20"/>
              </w:rPr>
            </w:pPr>
            <w:r w:rsidRPr="00C7470F">
              <w:rPr>
                <w:sz w:val="20"/>
              </w:rPr>
              <w:t>86.60</w:t>
            </w:r>
          </w:p>
        </w:tc>
      </w:tr>
    </w:tbl>
    <w:p w:rsidR="00C01E78" w:rsidRDefault="00C01E78" w:rsidP="00075F08">
      <w:pPr>
        <w:widowControl/>
      </w:pPr>
      <w:r>
        <w:br w:type="page"/>
      </w:r>
    </w:p>
    <w:p w:rsidR="002E14B5" w:rsidRDefault="002E14B5" w:rsidP="00E7457B">
      <w:pPr>
        <w:keepNext/>
        <w:widowControl/>
        <w:pBdr>
          <w:bottom w:val="single" w:sz="12" w:space="1" w:color="auto"/>
        </w:pBdr>
        <w:tabs>
          <w:tab w:val="left" w:pos="720"/>
        </w:tabs>
        <w:spacing w:before="240" w:after="240"/>
        <w:jc w:val="left"/>
      </w:pPr>
      <w:bookmarkStart w:id="116" w:name="_Toc381354158"/>
      <w:bookmarkStart w:id="117" w:name="_Toc445739601"/>
      <w:r w:rsidRPr="002E14B5">
        <w:rPr>
          <w:rStyle w:val="001ProxyChar"/>
        </w:rPr>
        <w:lastRenderedPageBreak/>
        <w:t>TRANSACTIONS WITH RELATED PERSONS</w:t>
      </w:r>
      <w:bookmarkEnd w:id="116"/>
      <w:bookmarkEnd w:id="117"/>
      <w:r w:rsidR="00C01E78" w:rsidRPr="00C01E78">
        <w:t xml:space="preserve">.  </w:t>
      </w:r>
    </w:p>
    <w:p w:rsidR="000250C8" w:rsidRDefault="00C01E78" w:rsidP="008505B2">
      <w:pPr>
        <w:keepNext/>
        <w:widowControl/>
        <w:tabs>
          <w:tab w:val="left" w:pos="720"/>
        </w:tabs>
        <w:spacing w:after="60"/>
        <w:jc w:val="left"/>
      </w:pPr>
      <w:r w:rsidRPr="00C01E78">
        <w:t>This section describes transactions since the beginning of 201</w:t>
      </w:r>
      <w:r w:rsidR="00A95AB3">
        <w:t>5</w:t>
      </w:r>
      <w:r w:rsidR="004B201C">
        <w:t>,</w:t>
      </w:r>
      <w:r w:rsidRPr="00C01E78">
        <w:t xml:space="preserve"> and currently proposed transactions in which the Company </w:t>
      </w:r>
      <w:r w:rsidR="0029261C">
        <w:t>(</w:t>
      </w:r>
      <w:r w:rsidRPr="00C01E78">
        <w:t>or its affiliates</w:t>
      </w:r>
      <w:r w:rsidR="0029261C">
        <w:t>)</w:t>
      </w:r>
      <w:r w:rsidRPr="00C01E78">
        <w:t xml:space="preserve"> was or is to be a participant, and in which any related person had or will have a direct or indirect material interest.  </w:t>
      </w:r>
    </w:p>
    <w:p w:rsidR="0054507C" w:rsidRPr="008E0354" w:rsidRDefault="004F337B" w:rsidP="008505B2">
      <w:pPr>
        <w:widowControl/>
        <w:tabs>
          <w:tab w:val="left" w:pos="720"/>
        </w:tabs>
        <w:spacing w:after="60"/>
        <w:jc w:val="left"/>
      </w:pPr>
      <w:r>
        <w:rPr>
          <w:b/>
          <w:i/>
        </w:rPr>
        <w:t xml:space="preserve">Con L. </w:t>
      </w:r>
      <w:r w:rsidR="0054507C" w:rsidRPr="0054507C">
        <w:rPr>
          <w:b/>
          <w:i/>
        </w:rPr>
        <w:t>Wadsworth</w:t>
      </w:r>
      <w:r w:rsidR="0054507C">
        <w:t>.  Mr. Wadsworth</w:t>
      </w:r>
      <w:r w:rsidR="006537F8">
        <w:t xml:space="preserve"> </w:t>
      </w:r>
      <w:r w:rsidR="00A95AB3">
        <w:t>w</w:t>
      </w:r>
      <w:r w:rsidR="006537F8">
        <w:t xml:space="preserve">as a Senior Vice President of the Company </w:t>
      </w:r>
      <w:r w:rsidR="00A95AB3">
        <w:t xml:space="preserve">from </w:t>
      </w:r>
      <w:r w:rsidR="006537F8">
        <w:t>June 2014</w:t>
      </w:r>
      <w:r w:rsidR="0054507C">
        <w:t xml:space="preserve"> </w:t>
      </w:r>
      <w:r w:rsidR="00A95AB3">
        <w:t xml:space="preserve">through February 13, 2015 when he voluntarily gave up that position, but </w:t>
      </w:r>
      <w:r w:rsidR="000B68A4">
        <w:t>remained</w:t>
      </w:r>
      <w:r w:rsidR="00A95AB3">
        <w:t xml:space="preserve"> </w:t>
      </w:r>
      <w:r w:rsidR="00ED67A6">
        <w:t>the President of the Company's Ralph L. Wadsworth Construction Company, LLC subsidiary</w:t>
      </w:r>
      <w:r w:rsidR="002E14B5">
        <w:t xml:space="preserve"> (RLW)</w:t>
      </w:r>
      <w:r w:rsidR="0054507C">
        <w:t>.</w:t>
      </w:r>
      <w:r w:rsidR="000B68A4">
        <w:t xml:space="preserve">  </w:t>
      </w:r>
      <w:r w:rsidR="002977C9" w:rsidRPr="002977C9">
        <w:t xml:space="preserve">Effective </w:t>
      </w:r>
      <w:r w:rsidR="000B68A4" w:rsidRPr="002977C9">
        <w:t>March 1</w:t>
      </w:r>
      <w:r w:rsidR="002977C9" w:rsidRPr="002977C9">
        <w:t>0</w:t>
      </w:r>
      <w:r w:rsidR="000B68A4" w:rsidRPr="002977C9">
        <w:t>, 2016, Mr. Wadsworth was elected the Company's Executive Vice President &amp; Chief Operating Officer, and was replaced as President of RLW by Brandon Squire, its Executive Vice President &amp; Chief Operating Officer.</w:t>
      </w:r>
    </w:p>
    <w:p w:rsidR="0054507C" w:rsidRDefault="0054507C" w:rsidP="008505B2">
      <w:pPr>
        <w:widowControl/>
        <w:tabs>
          <w:tab w:val="left" w:pos="720"/>
        </w:tabs>
        <w:spacing w:after="60"/>
        <w:jc w:val="left"/>
      </w:pPr>
      <w:r>
        <w:t>Mr. Wadsworth and some of his immediate family members are part owners of the following companies with which RLW had a business relationship in 201</w:t>
      </w:r>
      <w:r w:rsidR="009E3D3E">
        <w:t>5</w:t>
      </w:r>
      <w:r>
        <w:t xml:space="preserve">.  Their ownership interests are shown in the table below.  </w:t>
      </w:r>
    </w:p>
    <w:p w:rsidR="00D06C88" w:rsidRPr="0060487F" w:rsidRDefault="00D06C88" w:rsidP="0060487F">
      <w:pPr>
        <w:pStyle w:val="ListParagraph"/>
        <w:widowControl/>
        <w:numPr>
          <w:ilvl w:val="0"/>
          <w:numId w:val="14"/>
        </w:numPr>
        <w:tabs>
          <w:tab w:val="left" w:pos="720"/>
        </w:tabs>
        <w:spacing w:after="60"/>
        <w:contextualSpacing w:val="0"/>
        <w:jc w:val="left"/>
        <w:rPr>
          <w:i/>
        </w:rPr>
      </w:pPr>
      <w:r w:rsidRPr="007144B5">
        <w:rPr>
          <w:i/>
        </w:rPr>
        <w:t>Wadsworth &amp; Sons II (</w:t>
      </w:r>
      <w:proofErr w:type="spellStart"/>
      <w:r w:rsidRPr="007144B5">
        <w:rPr>
          <w:i/>
        </w:rPr>
        <w:t>W&amp;S</w:t>
      </w:r>
      <w:r>
        <w:rPr>
          <w:i/>
        </w:rPr>
        <w:t>2</w:t>
      </w:r>
      <w:proofErr w:type="spellEnd"/>
      <w:r w:rsidRPr="007144B5">
        <w:rPr>
          <w:i/>
        </w:rPr>
        <w:t>)</w:t>
      </w:r>
      <w:r>
        <w:rPr>
          <w:i/>
        </w:rPr>
        <w:t xml:space="preserve">.  </w:t>
      </w:r>
      <w:r>
        <w:t>RLW is the general contractor on a $3.</w:t>
      </w:r>
      <w:r w:rsidR="009E3D3E">
        <w:t>7</w:t>
      </w:r>
      <w:r>
        <w:t xml:space="preserve"> million project </w:t>
      </w:r>
      <w:r w:rsidR="009E3D3E">
        <w:t xml:space="preserve">designated as </w:t>
      </w:r>
      <w:r>
        <w:t xml:space="preserve">Exchange Building </w:t>
      </w:r>
      <w:r w:rsidR="009E3D3E">
        <w:t xml:space="preserve">"B" </w:t>
      </w:r>
      <w:r>
        <w:t xml:space="preserve">in Draper Utah, which is owned by </w:t>
      </w:r>
      <w:proofErr w:type="spellStart"/>
      <w:r>
        <w:t>W&amp;S2</w:t>
      </w:r>
      <w:proofErr w:type="spellEnd"/>
      <w:r>
        <w:t xml:space="preserve">.  </w:t>
      </w:r>
      <w:r w:rsidR="009E3D3E" w:rsidRPr="009E3D3E">
        <w:t>The project was 99% complete at the end of 2015.</w:t>
      </w:r>
    </w:p>
    <w:p w:rsidR="0060487F" w:rsidRPr="0060487F" w:rsidRDefault="0060487F" w:rsidP="0060487F">
      <w:pPr>
        <w:pStyle w:val="ListParagraph"/>
        <w:numPr>
          <w:ilvl w:val="0"/>
          <w:numId w:val="14"/>
        </w:numPr>
        <w:spacing w:after="60"/>
        <w:contextualSpacing w:val="0"/>
      </w:pPr>
      <w:proofErr w:type="spellStart"/>
      <w:r w:rsidRPr="0060487F">
        <w:rPr>
          <w:i/>
        </w:rPr>
        <w:t>W&amp;S2</w:t>
      </w:r>
      <w:proofErr w:type="spellEnd"/>
      <w:r w:rsidRPr="0060487F">
        <w:rPr>
          <w:i/>
        </w:rPr>
        <w:t xml:space="preserve"> &amp; Wadsworth Corporate Center Building A, LLC</w:t>
      </w:r>
      <w:r w:rsidRPr="0060487F">
        <w:t xml:space="preserve"> </w:t>
      </w:r>
      <w:r w:rsidRPr="0060487F">
        <w:rPr>
          <w:i/>
        </w:rPr>
        <w:t>(</w:t>
      </w:r>
      <w:proofErr w:type="spellStart"/>
      <w:r w:rsidRPr="0060487F">
        <w:rPr>
          <w:i/>
        </w:rPr>
        <w:t>WCC</w:t>
      </w:r>
      <w:proofErr w:type="spellEnd"/>
      <w:r w:rsidRPr="0060487F">
        <w:rPr>
          <w:i/>
        </w:rPr>
        <w:t>)</w:t>
      </w:r>
      <w:r>
        <w:t xml:space="preserve">.  </w:t>
      </w:r>
      <w:r w:rsidRPr="0060487F">
        <w:t xml:space="preserve">RLW leases its primary office space from </w:t>
      </w:r>
      <w:proofErr w:type="spellStart"/>
      <w:r w:rsidRPr="0060487F">
        <w:t>W&amp;S2</w:t>
      </w:r>
      <w:proofErr w:type="spellEnd"/>
      <w:r w:rsidRPr="0060487F">
        <w:t xml:space="preserve"> </w:t>
      </w:r>
      <w:r>
        <w:t>through</w:t>
      </w:r>
      <w:r w:rsidRPr="0060487F">
        <w:t xml:space="preserve"> </w:t>
      </w:r>
      <w:proofErr w:type="spellStart"/>
      <w:r w:rsidRPr="0060487F">
        <w:t>WCC</w:t>
      </w:r>
      <w:proofErr w:type="spellEnd"/>
      <w:r w:rsidRPr="0060487F">
        <w:t xml:space="preserve">, an entity owned and managed by </w:t>
      </w:r>
      <w:proofErr w:type="spellStart"/>
      <w:r w:rsidRPr="0060487F">
        <w:t>W&amp;S2</w:t>
      </w:r>
      <w:proofErr w:type="spellEnd"/>
      <w:r w:rsidRPr="0060487F">
        <w:t>, at an annual rent of $298,909</w:t>
      </w:r>
      <w:r>
        <w:t>,</w:t>
      </w:r>
      <w:r w:rsidRPr="0060487F">
        <w:t xml:space="preserve"> plus common area maintenance charges of $125,181.  This lease expires in 2022.</w:t>
      </w:r>
    </w:p>
    <w:p w:rsidR="0054507C" w:rsidRDefault="0054507C" w:rsidP="008505B2">
      <w:pPr>
        <w:pStyle w:val="ListParagraph"/>
        <w:widowControl/>
        <w:numPr>
          <w:ilvl w:val="0"/>
          <w:numId w:val="14"/>
        </w:numPr>
        <w:tabs>
          <w:tab w:val="left" w:pos="720"/>
        </w:tabs>
        <w:spacing w:after="60"/>
        <w:contextualSpacing w:val="0"/>
        <w:jc w:val="left"/>
      </w:pPr>
      <w:r w:rsidRPr="0086146C">
        <w:rPr>
          <w:i/>
        </w:rPr>
        <w:t>Wadsworth Dannon Way, LLC</w:t>
      </w:r>
      <w:r>
        <w:t xml:space="preserve"> (</w:t>
      </w:r>
      <w:proofErr w:type="spellStart"/>
      <w:r>
        <w:t>WDW</w:t>
      </w:r>
      <w:proofErr w:type="spellEnd"/>
      <w:r>
        <w:t xml:space="preserve">) and </w:t>
      </w:r>
      <w:r w:rsidRPr="0086146C">
        <w:rPr>
          <w:i/>
        </w:rPr>
        <w:t>Wadsworth &amp; Sons III (</w:t>
      </w:r>
      <w:proofErr w:type="spellStart"/>
      <w:r w:rsidRPr="0086146C">
        <w:rPr>
          <w:i/>
        </w:rPr>
        <w:t>W&amp;S3</w:t>
      </w:r>
      <w:proofErr w:type="spellEnd"/>
      <w:r w:rsidRPr="0086146C">
        <w:rPr>
          <w:i/>
        </w:rPr>
        <w:t>)</w:t>
      </w:r>
      <w:r>
        <w:t>.  In 201</w:t>
      </w:r>
      <w:r w:rsidR="0060487F">
        <w:t>5</w:t>
      </w:r>
      <w:r>
        <w:t xml:space="preserve">, RLW leased </w:t>
      </w:r>
      <w:r w:rsidR="00764010">
        <w:t>—</w:t>
      </w:r>
    </w:p>
    <w:p w:rsidR="0054507C" w:rsidRDefault="0054507C" w:rsidP="008505B2">
      <w:pPr>
        <w:pStyle w:val="ListParagraph"/>
        <w:widowControl/>
        <w:numPr>
          <w:ilvl w:val="1"/>
          <w:numId w:val="14"/>
        </w:numPr>
        <w:tabs>
          <w:tab w:val="left" w:pos="720"/>
          <w:tab w:val="left" w:pos="1080"/>
        </w:tabs>
        <w:spacing w:after="60"/>
        <w:ind w:left="1080"/>
        <w:contextualSpacing w:val="0"/>
        <w:jc w:val="left"/>
      </w:pPr>
      <w:r w:rsidRPr="003C1CB6">
        <w:t>a</w:t>
      </w:r>
      <w:r w:rsidRPr="003C1CB6">
        <w:rPr>
          <w:i/>
        </w:rPr>
        <w:t xml:space="preserve"> </w:t>
      </w:r>
      <w:r>
        <w:t xml:space="preserve">facility for RLW's equipment maintenance shop from </w:t>
      </w:r>
      <w:proofErr w:type="spellStart"/>
      <w:r>
        <w:t>WDW</w:t>
      </w:r>
      <w:proofErr w:type="spellEnd"/>
      <w:r>
        <w:t xml:space="preserve"> at an annual rent of $</w:t>
      </w:r>
      <w:r w:rsidR="0060487F">
        <w:t xml:space="preserve">195,245 </w:t>
      </w:r>
      <w:r>
        <w:t>plus common area maintenance charges of $</w:t>
      </w:r>
      <w:r w:rsidR="003C1CB6">
        <w:t>7</w:t>
      </w:r>
      <w:r w:rsidR="0060487F">
        <w:t>6</w:t>
      </w:r>
      <w:r w:rsidR="003C1CB6">
        <w:t>,</w:t>
      </w:r>
      <w:r w:rsidR="0060487F">
        <w:t>543</w:t>
      </w:r>
      <w:r>
        <w:t xml:space="preserve">; and </w:t>
      </w:r>
    </w:p>
    <w:p w:rsidR="0054507C" w:rsidRDefault="0054507C" w:rsidP="00F718CE">
      <w:pPr>
        <w:pStyle w:val="ListParagraph"/>
        <w:widowControl/>
        <w:numPr>
          <w:ilvl w:val="1"/>
          <w:numId w:val="14"/>
        </w:numPr>
        <w:tabs>
          <w:tab w:val="left" w:pos="720"/>
          <w:tab w:val="left" w:pos="1080"/>
        </w:tabs>
        <w:spacing w:after="60"/>
        <w:ind w:left="1080"/>
        <w:contextualSpacing w:val="0"/>
        <w:jc w:val="left"/>
      </w:pPr>
      <w:r>
        <w:t xml:space="preserve">a facility to provide temporary living quarters for field employees </w:t>
      </w:r>
      <w:r w:rsidR="0086146C">
        <w:t xml:space="preserve">from </w:t>
      </w:r>
      <w:proofErr w:type="spellStart"/>
      <w:r w:rsidR="0086146C">
        <w:t>W&amp;S3</w:t>
      </w:r>
      <w:proofErr w:type="spellEnd"/>
      <w:r w:rsidR="0086146C">
        <w:t xml:space="preserve"> </w:t>
      </w:r>
      <w:r>
        <w:t xml:space="preserve">at an annual rent of </w:t>
      </w:r>
      <w:r w:rsidR="00A03899">
        <w:t>$</w:t>
      </w:r>
      <w:r w:rsidR="00F718CE" w:rsidRPr="00F718CE">
        <w:t>42,000</w:t>
      </w:r>
      <w:r>
        <w:t xml:space="preserve">.  </w:t>
      </w:r>
    </w:p>
    <w:p w:rsidR="0054507C" w:rsidRDefault="00FF7514" w:rsidP="008505B2">
      <w:pPr>
        <w:widowControl/>
        <w:tabs>
          <w:tab w:val="left" w:pos="720"/>
        </w:tabs>
        <w:spacing w:after="60"/>
        <w:ind w:left="720"/>
        <w:jc w:val="left"/>
      </w:pPr>
      <w:r>
        <w:t>T</w:t>
      </w:r>
      <w:r w:rsidR="0054507C">
        <w:t xml:space="preserve">he </w:t>
      </w:r>
      <w:proofErr w:type="spellStart"/>
      <w:r w:rsidR="0054507C" w:rsidRPr="00507107">
        <w:t>W&amp;S3</w:t>
      </w:r>
      <w:proofErr w:type="spellEnd"/>
      <w:r w:rsidR="0054507C" w:rsidRPr="00507107">
        <w:t xml:space="preserve"> lease expire</w:t>
      </w:r>
      <w:r w:rsidR="00507107" w:rsidRPr="00507107">
        <w:t>d</w:t>
      </w:r>
      <w:r w:rsidR="0054507C" w:rsidRPr="00507107">
        <w:t xml:space="preserve"> in 2014</w:t>
      </w:r>
      <w:r w:rsidR="00507107" w:rsidRPr="00507107">
        <w:t xml:space="preserve"> </w:t>
      </w:r>
      <w:r>
        <w:t>and w</w:t>
      </w:r>
      <w:r w:rsidR="00507107">
        <w:t xml:space="preserve">as renewed on a </w:t>
      </w:r>
      <w:r w:rsidR="00507107" w:rsidRPr="00507107">
        <w:t xml:space="preserve">month to month </w:t>
      </w:r>
      <w:r w:rsidR="00507107">
        <w:t xml:space="preserve">basis </w:t>
      </w:r>
      <w:r w:rsidR="00507107" w:rsidRPr="00507107">
        <w:t>starting in November 2014</w:t>
      </w:r>
      <w:r w:rsidR="002E2751">
        <w:t xml:space="preserve"> at the same rent</w:t>
      </w:r>
      <w:r w:rsidR="00507107" w:rsidRPr="00507107">
        <w:t>.</w:t>
      </w:r>
      <w:r w:rsidR="00507107">
        <w:t xml:space="preserve">  </w:t>
      </w:r>
    </w:p>
    <w:p w:rsidR="0054507C" w:rsidRDefault="0054507C" w:rsidP="00070239">
      <w:pPr>
        <w:pStyle w:val="ListParagraph"/>
        <w:widowControl/>
        <w:numPr>
          <w:ilvl w:val="0"/>
          <w:numId w:val="14"/>
        </w:numPr>
        <w:tabs>
          <w:tab w:val="left" w:pos="720"/>
        </w:tabs>
        <w:spacing w:after="60"/>
        <w:contextualSpacing w:val="0"/>
        <w:jc w:val="left"/>
      </w:pPr>
      <w:r w:rsidRPr="00764010">
        <w:rPr>
          <w:i/>
        </w:rPr>
        <w:t>Big Sky, LLC</w:t>
      </w:r>
      <w:r>
        <w:t xml:space="preserve">.  Big Sky, LLC is an entity owned and managed by </w:t>
      </w:r>
      <w:proofErr w:type="spellStart"/>
      <w:r>
        <w:t>W&amp;S3</w:t>
      </w:r>
      <w:proofErr w:type="spellEnd"/>
      <w:r>
        <w:t xml:space="preserve">.  Big Sky owns a plane that RLW </w:t>
      </w:r>
      <w:r w:rsidR="00070239">
        <w:t xml:space="preserve">has </w:t>
      </w:r>
      <w:r>
        <w:t xml:space="preserve">rented </w:t>
      </w:r>
      <w:r w:rsidR="00070239">
        <w:t xml:space="preserve">since </w:t>
      </w:r>
      <w:r>
        <w:t>201</w:t>
      </w:r>
      <w:r w:rsidR="003925CF">
        <w:t>4</w:t>
      </w:r>
      <w:r>
        <w:t xml:space="preserve"> for certain business travel of its employees, including Mr.</w:t>
      </w:r>
      <w:r w:rsidR="00895EE7">
        <w:t> </w:t>
      </w:r>
      <w:r>
        <w:t>Wadsworth</w:t>
      </w:r>
      <w:r w:rsidR="00070239">
        <w:t xml:space="preserve">, </w:t>
      </w:r>
      <w:r>
        <w:t>for which RLW paid Big Sky rental fees and expenses totaling $</w:t>
      </w:r>
      <w:r w:rsidR="00070239" w:rsidRPr="00070239">
        <w:t>38,576</w:t>
      </w:r>
      <w:r w:rsidR="00070239">
        <w:t xml:space="preserve"> in 2015</w:t>
      </w:r>
      <w:r>
        <w:t xml:space="preserve">.  </w:t>
      </w:r>
    </w:p>
    <w:tbl>
      <w:tblPr>
        <w:tblStyle w:val="TableGrid"/>
        <w:tblW w:w="6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168"/>
        <w:gridCol w:w="1168"/>
        <w:gridCol w:w="1079"/>
      </w:tblGrid>
      <w:tr w:rsidR="00F874C5" w:rsidRPr="005D4A16" w:rsidTr="00173C6B">
        <w:trPr>
          <w:jc w:val="center"/>
        </w:trPr>
        <w:tc>
          <w:tcPr>
            <w:tcW w:w="2675" w:type="dxa"/>
            <w:tcBorders>
              <w:bottom w:val="single" w:sz="4" w:space="0" w:color="auto"/>
            </w:tcBorders>
            <w:tcMar>
              <w:top w:w="58" w:type="dxa"/>
              <w:left w:w="115" w:type="dxa"/>
              <w:bottom w:w="58" w:type="dxa"/>
              <w:right w:w="115" w:type="dxa"/>
            </w:tcMar>
            <w:vAlign w:val="bottom"/>
          </w:tcPr>
          <w:p w:rsidR="00F874C5" w:rsidRPr="00A617E3" w:rsidRDefault="00F874C5" w:rsidP="00173C6B">
            <w:pPr>
              <w:keepNext/>
              <w:widowControl/>
              <w:tabs>
                <w:tab w:val="left" w:pos="720"/>
              </w:tabs>
              <w:spacing w:after="0"/>
              <w:jc w:val="left"/>
              <w:rPr>
                <w:b/>
                <w:sz w:val="18"/>
                <w:szCs w:val="18"/>
              </w:rPr>
            </w:pPr>
            <w:r w:rsidRPr="00A617E3">
              <w:rPr>
                <w:b/>
                <w:sz w:val="18"/>
                <w:szCs w:val="18"/>
              </w:rPr>
              <w:t>Name (Relationship)</w:t>
            </w:r>
          </w:p>
        </w:tc>
        <w:tc>
          <w:tcPr>
            <w:tcW w:w="1168" w:type="dxa"/>
            <w:tcBorders>
              <w:bottom w:val="single" w:sz="4" w:space="0" w:color="auto"/>
            </w:tcBorders>
          </w:tcPr>
          <w:p w:rsidR="00F874C5" w:rsidRPr="00A617E3" w:rsidRDefault="00F874C5" w:rsidP="00173C6B">
            <w:pPr>
              <w:keepNext/>
              <w:widowControl/>
              <w:tabs>
                <w:tab w:val="left" w:pos="720"/>
              </w:tabs>
              <w:spacing w:after="0"/>
              <w:jc w:val="center"/>
              <w:rPr>
                <w:b/>
                <w:sz w:val="18"/>
                <w:szCs w:val="18"/>
              </w:rPr>
            </w:pPr>
            <w:proofErr w:type="spellStart"/>
            <w:r>
              <w:rPr>
                <w:b/>
                <w:sz w:val="18"/>
                <w:szCs w:val="18"/>
              </w:rPr>
              <w:t>W&amp;S2</w:t>
            </w:r>
            <w:proofErr w:type="spellEnd"/>
          </w:p>
        </w:tc>
        <w:tc>
          <w:tcPr>
            <w:tcW w:w="1168" w:type="dxa"/>
            <w:tcBorders>
              <w:bottom w:val="single" w:sz="4" w:space="0" w:color="auto"/>
            </w:tcBorders>
            <w:vAlign w:val="bottom"/>
          </w:tcPr>
          <w:p w:rsidR="00F874C5" w:rsidRPr="00A617E3" w:rsidRDefault="00F874C5" w:rsidP="00173C6B">
            <w:pPr>
              <w:keepNext/>
              <w:widowControl/>
              <w:tabs>
                <w:tab w:val="left" w:pos="720"/>
              </w:tabs>
              <w:spacing w:after="0"/>
              <w:jc w:val="center"/>
              <w:rPr>
                <w:b/>
                <w:sz w:val="18"/>
                <w:szCs w:val="18"/>
              </w:rPr>
            </w:pPr>
            <w:proofErr w:type="spellStart"/>
            <w:r w:rsidRPr="00A617E3">
              <w:rPr>
                <w:b/>
                <w:sz w:val="18"/>
                <w:szCs w:val="18"/>
              </w:rPr>
              <w:t>WDW</w:t>
            </w:r>
            <w:proofErr w:type="spellEnd"/>
          </w:p>
        </w:tc>
        <w:tc>
          <w:tcPr>
            <w:tcW w:w="1079" w:type="dxa"/>
            <w:tcBorders>
              <w:bottom w:val="single" w:sz="4" w:space="0" w:color="auto"/>
            </w:tcBorders>
            <w:tcMar>
              <w:top w:w="58" w:type="dxa"/>
              <w:left w:w="115" w:type="dxa"/>
              <w:bottom w:w="58" w:type="dxa"/>
              <w:right w:w="115" w:type="dxa"/>
            </w:tcMar>
            <w:vAlign w:val="bottom"/>
          </w:tcPr>
          <w:p w:rsidR="00F874C5" w:rsidRPr="00A617E3" w:rsidRDefault="00F874C5" w:rsidP="00173C6B">
            <w:pPr>
              <w:keepNext/>
              <w:widowControl/>
              <w:tabs>
                <w:tab w:val="left" w:pos="720"/>
              </w:tabs>
              <w:spacing w:after="0"/>
              <w:jc w:val="center"/>
              <w:rPr>
                <w:b/>
                <w:sz w:val="18"/>
                <w:szCs w:val="18"/>
              </w:rPr>
            </w:pPr>
            <w:proofErr w:type="spellStart"/>
            <w:r w:rsidRPr="00A617E3">
              <w:rPr>
                <w:b/>
                <w:sz w:val="18"/>
                <w:szCs w:val="18"/>
              </w:rPr>
              <w:t>W&amp;S3</w:t>
            </w:r>
            <w:proofErr w:type="spellEnd"/>
          </w:p>
        </w:tc>
      </w:tr>
      <w:tr w:rsidR="00F874C5" w:rsidRPr="005D4A16" w:rsidTr="00173C6B">
        <w:trPr>
          <w:jc w:val="center"/>
        </w:trPr>
        <w:tc>
          <w:tcPr>
            <w:tcW w:w="2675" w:type="dxa"/>
            <w:tcBorders>
              <w:top w:val="single" w:sz="4" w:space="0" w:color="auto"/>
            </w:tcBorders>
            <w:shd w:val="clear" w:color="auto" w:fill="C6D9F1" w:themeFill="text2" w:themeFillTint="33"/>
            <w:tcMar>
              <w:top w:w="58" w:type="dxa"/>
              <w:left w:w="115" w:type="dxa"/>
              <w:bottom w:w="58" w:type="dxa"/>
              <w:right w:w="115" w:type="dxa"/>
            </w:tcMar>
            <w:vAlign w:val="center"/>
          </w:tcPr>
          <w:p w:rsidR="00F874C5" w:rsidRPr="00A617E3" w:rsidRDefault="00F874C5" w:rsidP="00173C6B">
            <w:pPr>
              <w:keepNext/>
              <w:spacing w:after="0"/>
              <w:jc w:val="left"/>
              <w:rPr>
                <w:sz w:val="20"/>
              </w:rPr>
            </w:pPr>
            <w:r>
              <w:rPr>
                <w:sz w:val="20"/>
              </w:rPr>
              <w:t>Con</w:t>
            </w:r>
            <w:r w:rsidRPr="00A617E3">
              <w:rPr>
                <w:sz w:val="20"/>
              </w:rPr>
              <w:t xml:space="preserve"> L. Wadsworth</w:t>
            </w:r>
          </w:p>
        </w:tc>
        <w:tc>
          <w:tcPr>
            <w:tcW w:w="1168" w:type="dxa"/>
            <w:tcBorders>
              <w:top w:val="single" w:sz="4" w:space="0" w:color="auto"/>
            </w:tcBorders>
            <w:shd w:val="clear" w:color="auto" w:fill="C6D9F1" w:themeFill="text2" w:themeFillTint="33"/>
          </w:tcPr>
          <w:p w:rsidR="00F874C5" w:rsidRPr="00A617E3" w:rsidRDefault="00F874C5" w:rsidP="00173C6B">
            <w:pPr>
              <w:keepNext/>
              <w:widowControl/>
              <w:tabs>
                <w:tab w:val="left" w:pos="720"/>
              </w:tabs>
              <w:spacing w:after="0"/>
              <w:jc w:val="center"/>
              <w:rPr>
                <w:sz w:val="20"/>
              </w:rPr>
            </w:pPr>
            <w:r>
              <w:rPr>
                <w:sz w:val="20"/>
              </w:rPr>
              <w:t>32.50%</w:t>
            </w:r>
          </w:p>
        </w:tc>
        <w:tc>
          <w:tcPr>
            <w:tcW w:w="1168" w:type="dxa"/>
            <w:tcBorders>
              <w:top w:val="single" w:sz="4" w:space="0" w:color="auto"/>
            </w:tcBorders>
            <w:shd w:val="clear" w:color="auto" w:fill="C6D9F1" w:themeFill="text2" w:themeFillTint="33"/>
            <w:vAlign w:val="center"/>
          </w:tcPr>
          <w:p w:rsidR="00F874C5" w:rsidRPr="00A617E3" w:rsidRDefault="00F874C5" w:rsidP="00173C6B">
            <w:pPr>
              <w:keepNext/>
              <w:widowControl/>
              <w:tabs>
                <w:tab w:val="left" w:pos="720"/>
              </w:tabs>
              <w:spacing w:after="0"/>
              <w:jc w:val="center"/>
              <w:rPr>
                <w:sz w:val="20"/>
              </w:rPr>
            </w:pPr>
            <w:r>
              <w:rPr>
                <w:sz w:val="20"/>
              </w:rPr>
              <w:t>24.38</w:t>
            </w:r>
            <w:r w:rsidRPr="00A617E3">
              <w:rPr>
                <w:sz w:val="20"/>
              </w:rPr>
              <w:t>%</w:t>
            </w:r>
          </w:p>
        </w:tc>
        <w:tc>
          <w:tcPr>
            <w:tcW w:w="1079" w:type="dxa"/>
            <w:tcBorders>
              <w:top w:val="single" w:sz="4" w:space="0" w:color="auto"/>
            </w:tcBorders>
            <w:shd w:val="clear" w:color="auto" w:fill="C6D9F1" w:themeFill="text2" w:themeFillTint="33"/>
            <w:tcMar>
              <w:top w:w="58" w:type="dxa"/>
              <w:left w:w="115" w:type="dxa"/>
              <w:bottom w:w="58" w:type="dxa"/>
              <w:right w:w="115" w:type="dxa"/>
            </w:tcMar>
            <w:vAlign w:val="center"/>
          </w:tcPr>
          <w:p w:rsidR="00F874C5" w:rsidRPr="00A617E3" w:rsidRDefault="00F874C5" w:rsidP="00173C6B">
            <w:pPr>
              <w:keepNext/>
              <w:widowControl/>
              <w:tabs>
                <w:tab w:val="left" w:pos="720"/>
              </w:tabs>
              <w:spacing w:after="0"/>
              <w:jc w:val="center"/>
              <w:rPr>
                <w:sz w:val="20"/>
              </w:rPr>
            </w:pPr>
            <w:r>
              <w:rPr>
                <w:sz w:val="20"/>
              </w:rPr>
              <w:t>31.80</w:t>
            </w:r>
            <w:r w:rsidRPr="00A617E3">
              <w:rPr>
                <w:sz w:val="20"/>
              </w:rPr>
              <w:t>%</w:t>
            </w:r>
          </w:p>
        </w:tc>
      </w:tr>
      <w:tr w:rsidR="00F874C5" w:rsidRPr="005D4A16" w:rsidTr="00173C6B">
        <w:trPr>
          <w:jc w:val="center"/>
        </w:trPr>
        <w:tc>
          <w:tcPr>
            <w:tcW w:w="2675" w:type="dxa"/>
            <w:tcMar>
              <w:top w:w="58" w:type="dxa"/>
              <w:left w:w="115" w:type="dxa"/>
              <w:bottom w:w="58" w:type="dxa"/>
              <w:right w:w="115" w:type="dxa"/>
            </w:tcMar>
            <w:vAlign w:val="center"/>
          </w:tcPr>
          <w:p w:rsidR="00F874C5" w:rsidRPr="00A617E3" w:rsidRDefault="00F874C5" w:rsidP="00173C6B">
            <w:pPr>
              <w:spacing w:after="0"/>
              <w:jc w:val="left"/>
              <w:rPr>
                <w:sz w:val="20"/>
              </w:rPr>
            </w:pPr>
            <w:r>
              <w:rPr>
                <w:sz w:val="20"/>
              </w:rPr>
              <w:t>Kip</w:t>
            </w:r>
            <w:r w:rsidRPr="00A617E3">
              <w:rPr>
                <w:sz w:val="20"/>
              </w:rPr>
              <w:t xml:space="preserve"> L. Wadsworth (brother)</w:t>
            </w:r>
          </w:p>
        </w:tc>
        <w:tc>
          <w:tcPr>
            <w:tcW w:w="1168" w:type="dxa"/>
          </w:tcPr>
          <w:p w:rsidR="00F874C5" w:rsidRPr="00A617E3" w:rsidRDefault="00F874C5" w:rsidP="00173C6B">
            <w:pPr>
              <w:spacing w:after="0"/>
              <w:jc w:val="center"/>
              <w:rPr>
                <w:sz w:val="20"/>
              </w:rPr>
            </w:pPr>
            <w:r>
              <w:rPr>
                <w:sz w:val="20"/>
              </w:rPr>
              <w:t>32.50%</w:t>
            </w:r>
          </w:p>
        </w:tc>
        <w:tc>
          <w:tcPr>
            <w:tcW w:w="1168" w:type="dxa"/>
            <w:vAlign w:val="center"/>
          </w:tcPr>
          <w:p w:rsidR="00F874C5" w:rsidRPr="00A617E3" w:rsidRDefault="00F874C5" w:rsidP="00173C6B">
            <w:pPr>
              <w:spacing w:after="0"/>
              <w:jc w:val="center"/>
              <w:rPr>
                <w:sz w:val="20"/>
              </w:rPr>
            </w:pPr>
            <w:r>
              <w:rPr>
                <w:sz w:val="20"/>
              </w:rPr>
              <w:t>24.38</w:t>
            </w:r>
            <w:r w:rsidRPr="00A617E3">
              <w:rPr>
                <w:sz w:val="20"/>
              </w:rPr>
              <w:t>%</w:t>
            </w:r>
          </w:p>
        </w:tc>
        <w:tc>
          <w:tcPr>
            <w:tcW w:w="1079" w:type="dxa"/>
            <w:tcMar>
              <w:top w:w="58" w:type="dxa"/>
              <w:left w:w="115" w:type="dxa"/>
              <w:bottom w:w="58" w:type="dxa"/>
              <w:right w:w="115" w:type="dxa"/>
            </w:tcMar>
            <w:vAlign w:val="center"/>
          </w:tcPr>
          <w:p w:rsidR="00F874C5" w:rsidRPr="00A617E3" w:rsidRDefault="00F874C5" w:rsidP="00173C6B">
            <w:pPr>
              <w:spacing w:after="0"/>
              <w:jc w:val="center"/>
              <w:rPr>
                <w:sz w:val="20"/>
              </w:rPr>
            </w:pPr>
            <w:r>
              <w:rPr>
                <w:sz w:val="20"/>
              </w:rPr>
              <w:t>31.80</w:t>
            </w:r>
            <w:r w:rsidRPr="00A617E3">
              <w:rPr>
                <w:sz w:val="20"/>
              </w:rPr>
              <w:t>%</w:t>
            </w:r>
          </w:p>
        </w:tc>
      </w:tr>
      <w:tr w:rsidR="00F874C5" w:rsidRPr="005D4A16" w:rsidTr="00173C6B">
        <w:trPr>
          <w:jc w:val="center"/>
        </w:trPr>
        <w:tc>
          <w:tcPr>
            <w:tcW w:w="2675" w:type="dxa"/>
            <w:shd w:val="clear" w:color="auto" w:fill="C6D9F1" w:themeFill="text2" w:themeFillTint="33"/>
            <w:tcMar>
              <w:top w:w="58" w:type="dxa"/>
              <w:left w:w="115" w:type="dxa"/>
              <w:bottom w:w="58" w:type="dxa"/>
              <w:right w:w="115" w:type="dxa"/>
            </w:tcMar>
            <w:vAlign w:val="center"/>
          </w:tcPr>
          <w:p w:rsidR="00F874C5" w:rsidRPr="00A617E3" w:rsidRDefault="00F874C5" w:rsidP="00173C6B">
            <w:pPr>
              <w:spacing w:after="0"/>
              <w:jc w:val="left"/>
              <w:rPr>
                <w:sz w:val="20"/>
              </w:rPr>
            </w:pPr>
            <w:r w:rsidRPr="00A617E3">
              <w:rPr>
                <w:sz w:val="20"/>
              </w:rPr>
              <w:t>Tod L. Wadsworth (brother)</w:t>
            </w:r>
          </w:p>
        </w:tc>
        <w:tc>
          <w:tcPr>
            <w:tcW w:w="1168" w:type="dxa"/>
            <w:shd w:val="clear" w:color="auto" w:fill="C6D9F1" w:themeFill="text2" w:themeFillTint="33"/>
          </w:tcPr>
          <w:p w:rsidR="00F874C5" w:rsidRPr="00A617E3" w:rsidRDefault="00F874C5" w:rsidP="00173C6B">
            <w:pPr>
              <w:spacing w:after="0"/>
              <w:jc w:val="center"/>
              <w:rPr>
                <w:sz w:val="20"/>
              </w:rPr>
            </w:pPr>
            <w:r>
              <w:rPr>
                <w:sz w:val="20"/>
              </w:rPr>
              <w:t>32.50%</w:t>
            </w:r>
          </w:p>
        </w:tc>
        <w:tc>
          <w:tcPr>
            <w:tcW w:w="1168" w:type="dxa"/>
            <w:shd w:val="clear" w:color="auto" w:fill="C6D9F1" w:themeFill="text2" w:themeFillTint="33"/>
            <w:vAlign w:val="center"/>
          </w:tcPr>
          <w:p w:rsidR="00F874C5" w:rsidRPr="00A617E3" w:rsidRDefault="00F874C5" w:rsidP="00173C6B">
            <w:pPr>
              <w:spacing w:after="0"/>
              <w:jc w:val="center"/>
              <w:rPr>
                <w:sz w:val="20"/>
              </w:rPr>
            </w:pPr>
            <w:r>
              <w:rPr>
                <w:sz w:val="20"/>
              </w:rPr>
              <w:t>24.38</w:t>
            </w:r>
            <w:r w:rsidRPr="00A617E3">
              <w:rPr>
                <w:sz w:val="20"/>
              </w:rPr>
              <w:t>%</w:t>
            </w:r>
          </w:p>
        </w:tc>
        <w:tc>
          <w:tcPr>
            <w:tcW w:w="1079" w:type="dxa"/>
            <w:shd w:val="clear" w:color="auto" w:fill="C6D9F1" w:themeFill="text2" w:themeFillTint="33"/>
            <w:tcMar>
              <w:top w:w="58" w:type="dxa"/>
              <w:left w:w="115" w:type="dxa"/>
              <w:bottom w:w="58" w:type="dxa"/>
              <w:right w:w="115" w:type="dxa"/>
            </w:tcMar>
            <w:vAlign w:val="center"/>
          </w:tcPr>
          <w:p w:rsidR="00F874C5" w:rsidRPr="00A617E3" w:rsidRDefault="00F874C5" w:rsidP="00173C6B">
            <w:pPr>
              <w:spacing w:after="0"/>
              <w:jc w:val="center"/>
              <w:rPr>
                <w:sz w:val="20"/>
              </w:rPr>
            </w:pPr>
            <w:r>
              <w:rPr>
                <w:sz w:val="20"/>
              </w:rPr>
              <w:t>36.40</w:t>
            </w:r>
            <w:r w:rsidRPr="00A617E3">
              <w:rPr>
                <w:sz w:val="20"/>
              </w:rPr>
              <w:t>%</w:t>
            </w:r>
          </w:p>
        </w:tc>
      </w:tr>
      <w:tr w:rsidR="00F874C5" w:rsidRPr="005D4A16" w:rsidTr="00F874C5">
        <w:trPr>
          <w:jc w:val="center"/>
        </w:trPr>
        <w:tc>
          <w:tcPr>
            <w:tcW w:w="2675" w:type="dxa"/>
            <w:shd w:val="clear" w:color="auto" w:fill="FFFFFF" w:themeFill="background1"/>
            <w:tcMar>
              <w:top w:w="58" w:type="dxa"/>
              <w:left w:w="115" w:type="dxa"/>
              <w:bottom w:w="58" w:type="dxa"/>
              <w:right w:w="115" w:type="dxa"/>
            </w:tcMar>
            <w:vAlign w:val="center"/>
          </w:tcPr>
          <w:p w:rsidR="00F874C5" w:rsidRPr="00A617E3" w:rsidRDefault="00F874C5" w:rsidP="00173C6B">
            <w:pPr>
              <w:spacing w:after="0"/>
              <w:jc w:val="left"/>
              <w:rPr>
                <w:sz w:val="20"/>
              </w:rPr>
            </w:pPr>
            <w:r w:rsidRPr="00A617E3">
              <w:rPr>
                <w:sz w:val="20"/>
              </w:rPr>
              <w:t>Nic L. Wadsworth (brother)</w:t>
            </w:r>
          </w:p>
        </w:tc>
        <w:tc>
          <w:tcPr>
            <w:tcW w:w="1168" w:type="dxa"/>
            <w:shd w:val="clear" w:color="auto" w:fill="FFFFFF" w:themeFill="background1"/>
          </w:tcPr>
          <w:p w:rsidR="00F874C5" w:rsidRPr="00A617E3" w:rsidRDefault="00F874C5" w:rsidP="00173C6B">
            <w:pPr>
              <w:widowControl/>
              <w:tabs>
                <w:tab w:val="left" w:pos="720"/>
              </w:tabs>
              <w:spacing w:after="0"/>
              <w:jc w:val="center"/>
              <w:rPr>
                <w:sz w:val="20"/>
              </w:rPr>
            </w:pPr>
            <w:r>
              <w:rPr>
                <w:sz w:val="20"/>
              </w:rPr>
              <w:t>—</w:t>
            </w:r>
          </w:p>
        </w:tc>
        <w:tc>
          <w:tcPr>
            <w:tcW w:w="1168" w:type="dxa"/>
            <w:shd w:val="clear" w:color="auto" w:fill="FFFFFF" w:themeFill="background1"/>
            <w:vAlign w:val="center"/>
          </w:tcPr>
          <w:p w:rsidR="00F874C5" w:rsidRPr="00A617E3" w:rsidRDefault="00F874C5" w:rsidP="00173C6B">
            <w:pPr>
              <w:widowControl/>
              <w:tabs>
                <w:tab w:val="left" w:pos="720"/>
              </w:tabs>
              <w:spacing w:after="0"/>
              <w:jc w:val="center"/>
              <w:rPr>
                <w:sz w:val="20"/>
              </w:rPr>
            </w:pPr>
            <w:r>
              <w:rPr>
                <w:sz w:val="20"/>
              </w:rPr>
              <w:t>24.38</w:t>
            </w:r>
            <w:r w:rsidRPr="00A617E3">
              <w:rPr>
                <w:sz w:val="20"/>
              </w:rPr>
              <w:t>%</w:t>
            </w:r>
          </w:p>
        </w:tc>
        <w:tc>
          <w:tcPr>
            <w:tcW w:w="1079" w:type="dxa"/>
            <w:shd w:val="clear" w:color="auto" w:fill="FFFFFF" w:themeFill="background1"/>
            <w:tcMar>
              <w:top w:w="58" w:type="dxa"/>
              <w:left w:w="115" w:type="dxa"/>
              <w:bottom w:w="58" w:type="dxa"/>
              <w:right w:w="115" w:type="dxa"/>
            </w:tcMar>
            <w:vAlign w:val="center"/>
          </w:tcPr>
          <w:p w:rsidR="00F874C5" w:rsidRPr="00A617E3" w:rsidRDefault="00F874C5" w:rsidP="00173C6B">
            <w:pPr>
              <w:widowControl/>
              <w:tabs>
                <w:tab w:val="left" w:pos="720"/>
              </w:tabs>
              <w:spacing w:after="0"/>
              <w:jc w:val="center"/>
              <w:rPr>
                <w:sz w:val="20"/>
              </w:rPr>
            </w:pPr>
            <w:r w:rsidRPr="00A617E3">
              <w:rPr>
                <w:sz w:val="20"/>
              </w:rPr>
              <w:t>—</w:t>
            </w:r>
          </w:p>
        </w:tc>
      </w:tr>
      <w:tr w:rsidR="00F874C5" w:rsidRPr="005D4A16" w:rsidTr="00F874C5">
        <w:trPr>
          <w:jc w:val="center"/>
        </w:trPr>
        <w:tc>
          <w:tcPr>
            <w:tcW w:w="2675" w:type="dxa"/>
            <w:shd w:val="clear" w:color="auto" w:fill="C6D9F1" w:themeFill="text2" w:themeFillTint="33"/>
            <w:tcMar>
              <w:top w:w="58" w:type="dxa"/>
              <w:left w:w="115" w:type="dxa"/>
              <w:bottom w:w="58" w:type="dxa"/>
              <w:right w:w="115" w:type="dxa"/>
            </w:tcMar>
            <w:vAlign w:val="center"/>
          </w:tcPr>
          <w:p w:rsidR="00F874C5" w:rsidRPr="00A617E3" w:rsidRDefault="00F874C5" w:rsidP="00173C6B">
            <w:pPr>
              <w:spacing w:after="0"/>
              <w:jc w:val="left"/>
              <w:rPr>
                <w:sz w:val="20"/>
              </w:rPr>
            </w:pPr>
            <w:r w:rsidRPr="00A617E3">
              <w:rPr>
                <w:sz w:val="20"/>
              </w:rPr>
              <w:t>Ralph L. Wadsworth (father)</w:t>
            </w:r>
          </w:p>
        </w:tc>
        <w:tc>
          <w:tcPr>
            <w:tcW w:w="1168" w:type="dxa"/>
            <w:shd w:val="clear" w:color="auto" w:fill="C6D9F1" w:themeFill="text2" w:themeFillTint="33"/>
          </w:tcPr>
          <w:p w:rsidR="00F874C5" w:rsidRPr="00A617E3" w:rsidRDefault="00F874C5" w:rsidP="00173C6B">
            <w:pPr>
              <w:widowControl/>
              <w:tabs>
                <w:tab w:val="left" w:pos="720"/>
              </w:tabs>
              <w:spacing w:after="0"/>
              <w:jc w:val="center"/>
              <w:rPr>
                <w:sz w:val="20"/>
              </w:rPr>
            </w:pPr>
            <w:r>
              <w:rPr>
                <w:sz w:val="20"/>
              </w:rPr>
              <w:t>1.30%</w:t>
            </w:r>
          </w:p>
        </w:tc>
        <w:tc>
          <w:tcPr>
            <w:tcW w:w="1168" w:type="dxa"/>
            <w:shd w:val="clear" w:color="auto" w:fill="C6D9F1" w:themeFill="text2" w:themeFillTint="33"/>
            <w:vAlign w:val="center"/>
          </w:tcPr>
          <w:p w:rsidR="00F874C5" w:rsidRPr="00A617E3" w:rsidRDefault="00F874C5" w:rsidP="00173C6B">
            <w:pPr>
              <w:widowControl/>
              <w:tabs>
                <w:tab w:val="left" w:pos="720"/>
              </w:tabs>
              <w:spacing w:after="0"/>
              <w:jc w:val="center"/>
              <w:rPr>
                <w:sz w:val="20"/>
              </w:rPr>
            </w:pPr>
            <w:r>
              <w:rPr>
                <w:sz w:val="20"/>
              </w:rPr>
              <w:t>1.24</w:t>
            </w:r>
            <w:r w:rsidRPr="00A617E3">
              <w:rPr>
                <w:sz w:val="20"/>
              </w:rPr>
              <w:t>%</w:t>
            </w:r>
          </w:p>
        </w:tc>
        <w:tc>
          <w:tcPr>
            <w:tcW w:w="1079" w:type="dxa"/>
            <w:shd w:val="clear" w:color="auto" w:fill="C6D9F1" w:themeFill="text2" w:themeFillTint="33"/>
            <w:tcMar>
              <w:top w:w="58" w:type="dxa"/>
              <w:left w:w="115" w:type="dxa"/>
              <w:bottom w:w="58" w:type="dxa"/>
              <w:right w:w="115" w:type="dxa"/>
            </w:tcMar>
            <w:vAlign w:val="center"/>
          </w:tcPr>
          <w:p w:rsidR="00F874C5" w:rsidRPr="00A617E3" w:rsidRDefault="00F874C5" w:rsidP="00173C6B">
            <w:pPr>
              <w:widowControl/>
              <w:tabs>
                <w:tab w:val="left" w:pos="720"/>
              </w:tabs>
              <w:spacing w:after="0"/>
              <w:jc w:val="center"/>
              <w:rPr>
                <w:sz w:val="20"/>
              </w:rPr>
            </w:pPr>
            <w:r w:rsidRPr="00A617E3">
              <w:rPr>
                <w:sz w:val="20"/>
              </w:rPr>
              <w:t>—</w:t>
            </w:r>
          </w:p>
        </w:tc>
      </w:tr>
      <w:tr w:rsidR="00F874C5" w:rsidRPr="005D4A16" w:rsidTr="00F874C5">
        <w:trPr>
          <w:jc w:val="center"/>
        </w:trPr>
        <w:tc>
          <w:tcPr>
            <w:tcW w:w="2675" w:type="dxa"/>
            <w:tcBorders>
              <w:bottom w:val="single" w:sz="4" w:space="0" w:color="auto"/>
            </w:tcBorders>
            <w:shd w:val="clear" w:color="auto" w:fill="FFFFFF" w:themeFill="background1"/>
            <w:tcMar>
              <w:top w:w="58" w:type="dxa"/>
              <w:left w:w="115" w:type="dxa"/>
              <w:bottom w:w="58" w:type="dxa"/>
              <w:right w:w="115" w:type="dxa"/>
            </w:tcMar>
            <w:vAlign w:val="center"/>
          </w:tcPr>
          <w:p w:rsidR="00F874C5" w:rsidRPr="00A617E3" w:rsidRDefault="00F874C5" w:rsidP="00173C6B">
            <w:pPr>
              <w:spacing w:after="0"/>
              <w:jc w:val="left"/>
              <w:rPr>
                <w:sz w:val="20"/>
              </w:rPr>
            </w:pPr>
            <w:r w:rsidRPr="00A617E3">
              <w:rPr>
                <w:sz w:val="20"/>
              </w:rPr>
              <w:t>Peggy Wadsworth (mother)</w:t>
            </w:r>
          </w:p>
        </w:tc>
        <w:tc>
          <w:tcPr>
            <w:tcW w:w="1168" w:type="dxa"/>
            <w:tcBorders>
              <w:bottom w:val="single" w:sz="4" w:space="0" w:color="auto"/>
            </w:tcBorders>
            <w:shd w:val="clear" w:color="auto" w:fill="FFFFFF" w:themeFill="background1"/>
          </w:tcPr>
          <w:p w:rsidR="00F874C5" w:rsidRPr="00A617E3" w:rsidRDefault="00F874C5" w:rsidP="00173C6B">
            <w:pPr>
              <w:widowControl/>
              <w:tabs>
                <w:tab w:val="left" w:pos="720"/>
              </w:tabs>
              <w:spacing w:after="0"/>
              <w:jc w:val="center"/>
              <w:rPr>
                <w:sz w:val="20"/>
              </w:rPr>
            </w:pPr>
            <w:r>
              <w:rPr>
                <w:sz w:val="20"/>
              </w:rPr>
              <w:t>1.30%</w:t>
            </w:r>
          </w:p>
        </w:tc>
        <w:tc>
          <w:tcPr>
            <w:tcW w:w="1168" w:type="dxa"/>
            <w:tcBorders>
              <w:bottom w:val="single" w:sz="4" w:space="0" w:color="auto"/>
            </w:tcBorders>
            <w:shd w:val="clear" w:color="auto" w:fill="FFFFFF" w:themeFill="background1"/>
            <w:vAlign w:val="center"/>
          </w:tcPr>
          <w:p w:rsidR="00F874C5" w:rsidRPr="00A617E3" w:rsidRDefault="00F874C5" w:rsidP="00173C6B">
            <w:pPr>
              <w:widowControl/>
              <w:tabs>
                <w:tab w:val="left" w:pos="720"/>
              </w:tabs>
              <w:spacing w:after="0"/>
              <w:jc w:val="center"/>
              <w:rPr>
                <w:sz w:val="20"/>
              </w:rPr>
            </w:pPr>
            <w:r>
              <w:rPr>
                <w:sz w:val="20"/>
              </w:rPr>
              <w:t>1.24</w:t>
            </w:r>
            <w:r w:rsidRPr="00A617E3">
              <w:rPr>
                <w:sz w:val="20"/>
              </w:rPr>
              <w:t>%</w:t>
            </w:r>
          </w:p>
        </w:tc>
        <w:tc>
          <w:tcPr>
            <w:tcW w:w="1079" w:type="dxa"/>
            <w:tcBorders>
              <w:bottom w:val="single" w:sz="4" w:space="0" w:color="auto"/>
            </w:tcBorders>
            <w:shd w:val="clear" w:color="auto" w:fill="FFFFFF" w:themeFill="background1"/>
            <w:tcMar>
              <w:top w:w="58" w:type="dxa"/>
              <w:left w:w="115" w:type="dxa"/>
              <w:bottom w:w="58" w:type="dxa"/>
              <w:right w:w="115" w:type="dxa"/>
            </w:tcMar>
            <w:vAlign w:val="center"/>
          </w:tcPr>
          <w:p w:rsidR="00F874C5" w:rsidRPr="00A617E3" w:rsidRDefault="00F874C5" w:rsidP="00173C6B">
            <w:pPr>
              <w:widowControl/>
              <w:tabs>
                <w:tab w:val="left" w:pos="720"/>
              </w:tabs>
              <w:spacing w:after="0"/>
              <w:jc w:val="center"/>
              <w:rPr>
                <w:sz w:val="20"/>
              </w:rPr>
            </w:pPr>
            <w:r w:rsidRPr="00A617E3">
              <w:rPr>
                <w:sz w:val="20"/>
              </w:rPr>
              <w:t>—</w:t>
            </w:r>
          </w:p>
        </w:tc>
      </w:tr>
    </w:tbl>
    <w:p w:rsidR="00D32AAC" w:rsidRDefault="00D32AAC" w:rsidP="005E21A4">
      <w:pPr>
        <w:keepNext/>
        <w:spacing w:before="240" w:after="40"/>
      </w:pPr>
      <w:bookmarkStart w:id="118" w:name="_Toc381354159"/>
      <w:r w:rsidRPr="00C863BE">
        <w:rPr>
          <w:b/>
        </w:rPr>
        <w:lastRenderedPageBreak/>
        <w:t xml:space="preserve">Policies </w:t>
      </w:r>
      <w:r w:rsidR="00DC313C" w:rsidRPr="00C863BE">
        <w:rPr>
          <w:b/>
        </w:rPr>
        <w:t>&amp;</w:t>
      </w:r>
      <w:r w:rsidRPr="00C863BE">
        <w:rPr>
          <w:b/>
        </w:rPr>
        <w:t xml:space="preserve"> Procedures for the Review, Approval or Ratification of Transactions with Related Persons</w:t>
      </w:r>
      <w:bookmarkEnd w:id="118"/>
      <w:r>
        <w:t xml:space="preserve">.  </w:t>
      </w:r>
    </w:p>
    <w:p w:rsidR="00C863BE" w:rsidRDefault="00D32AAC" w:rsidP="005E21A4">
      <w:pPr>
        <w:keepNext/>
        <w:widowControl/>
        <w:spacing w:after="60"/>
        <w:jc w:val="left"/>
      </w:pPr>
      <w:r w:rsidRPr="00D32AAC">
        <w:rPr>
          <w:b/>
          <w:i/>
        </w:rPr>
        <w:t>General</w:t>
      </w:r>
      <w:r>
        <w:t xml:space="preserve">.  The Board's policy on transactions between the Company and related persons is set forth in the written charter of the Audit Committee.  The policy requires the </w:t>
      </w:r>
      <w:r w:rsidR="004D3D43">
        <w:t xml:space="preserve">Audit Committee </w:t>
      </w:r>
      <w:r>
        <w:t xml:space="preserve">to review in advance the terms of any transaction between the Company (including its subsidiaries) and a director, executive officer, nominee for election as a director, or stockholder; and any of their affiliates or immediate family members that involves more than $100,000.  </w:t>
      </w:r>
    </w:p>
    <w:p w:rsidR="00D32AAC" w:rsidRDefault="00C863BE" w:rsidP="00FF35EC">
      <w:pPr>
        <w:widowControl/>
        <w:jc w:val="left"/>
      </w:pPr>
      <w:r>
        <w:t>Any new transaction is taken under consideration by the Audit Committee, and both new and existing transactions</w:t>
      </w:r>
      <w:r w:rsidR="00D43635">
        <w:t xml:space="preserve">, </w:t>
      </w:r>
      <w:r w:rsidR="00D43635" w:rsidRPr="00307FC8">
        <w:t xml:space="preserve">such as the </w:t>
      </w:r>
      <w:proofErr w:type="spellStart"/>
      <w:r w:rsidR="00D43635" w:rsidRPr="00307FC8">
        <w:t>W&amp;S3</w:t>
      </w:r>
      <w:proofErr w:type="spellEnd"/>
      <w:r w:rsidR="00D43635" w:rsidRPr="00307FC8">
        <w:t xml:space="preserve"> plane rental fees</w:t>
      </w:r>
      <w:r w:rsidR="00D43635">
        <w:t>,</w:t>
      </w:r>
      <w:r>
        <w:t xml:space="preserve"> are reviewed periodically by an independent audit firm retained by the Audit Committee to ensure, among other considerations, that they are in compliance with Delaware law and are on terms that are no less favorable to the Company (including its subsidiaries) than could be obtained from unrelated third parties.  </w:t>
      </w:r>
    </w:p>
    <w:p w:rsidR="008444C8" w:rsidRDefault="00AD12B5" w:rsidP="00E7457B">
      <w:pPr>
        <w:widowControl/>
        <w:jc w:val="left"/>
        <w:rPr>
          <w:b/>
        </w:rPr>
      </w:pPr>
      <w:r>
        <w:rPr>
          <w:b/>
          <w:i/>
        </w:rPr>
        <w:t>Mr.</w:t>
      </w:r>
      <w:r w:rsidR="00D32AAC" w:rsidRPr="00D32AAC">
        <w:rPr>
          <w:b/>
          <w:i/>
        </w:rPr>
        <w:t xml:space="preserve"> Wadsworth</w:t>
      </w:r>
      <w:r w:rsidR="00D32AAC">
        <w:t xml:space="preserve">.  As part of its due diligence review prior to the acquisition of </w:t>
      </w:r>
      <w:r w:rsidR="00A76536">
        <w:t>an</w:t>
      </w:r>
      <w:r w:rsidR="00D32AAC">
        <w:t xml:space="preserve"> 80% interest in RLW, the Company reviewed the relationships and transactions between RLW, Mr. Wadsworth and Mr. Wadsworth's family members, and concluded that the prices being charged to RLW or by RLW, as the case may be, are competitive and no less favorable to RLW than could be obtained from unrelated third parties.  </w:t>
      </w:r>
      <w:r w:rsidR="00D43635">
        <w:t>These amounts are also reviewed periodically by the independent audit firm referred to above.</w:t>
      </w:r>
    </w:p>
    <w:p w:rsidR="00D32AAC" w:rsidRPr="00234BC1" w:rsidRDefault="00234BC1" w:rsidP="00E7457B">
      <w:pPr>
        <w:pStyle w:val="001Proxy"/>
        <w:keepNext/>
        <w:pBdr>
          <w:bottom w:val="single" w:sz="12" w:space="1" w:color="auto"/>
        </w:pBdr>
        <w:spacing w:after="240"/>
      </w:pPr>
      <w:bookmarkStart w:id="119" w:name="_Toc381354160"/>
      <w:bookmarkStart w:id="120" w:name="_Toc445739602"/>
      <w:r w:rsidRPr="00234BC1">
        <w:t xml:space="preserve">INFORMATION ABOUT AUDIT FEES </w:t>
      </w:r>
      <w:r w:rsidR="00B92237">
        <w:t>&amp;</w:t>
      </w:r>
      <w:r w:rsidRPr="00234BC1">
        <w:t xml:space="preserve"> AUDIT SERVICES</w:t>
      </w:r>
      <w:bookmarkEnd w:id="119"/>
      <w:bookmarkEnd w:id="120"/>
    </w:p>
    <w:p w:rsidR="00234BC1" w:rsidRDefault="00234BC1" w:rsidP="001F5DCA">
      <w:pPr>
        <w:keepNext/>
        <w:widowControl/>
        <w:spacing w:after="60"/>
        <w:jc w:val="left"/>
      </w:pPr>
      <w:r>
        <w:t xml:space="preserve">A representative of the Company's independent registered public accounting firm, Grant Thornton LLP, is expected to be available at the Annual Meeting and will have the opportunity to make a statement, if he or she wishes, and to respond to appropriate questions from stockholders.  </w:t>
      </w:r>
    </w:p>
    <w:p w:rsidR="00234BC1" w:rsidRDefault="00234BC1" w:rsidP="00E7457B">
      <w:pPr>
        <w:widowControl/>
        <w:jc w:val="left"/>
      </w:pPr>
      <w:r>
        <w:t>The following table sets forth the aggregate fees that Grant Thornton billed to the Company for the years ended December 31, 201</w:t>
      </w:r>
      <w:r w:rsidR="00E5446A">
        <w:t>5</w:t>
      </w:r>
      <w:r>
        <w:t xml:space="preserve"> and 201</w:t>
      </w:r>
      <w:r w:rsidR="00E5446A">
        <w:t>4</w:t>
      </w:r>
      <w:r>
        <w:t xml:space="preserve">.  </w:t>
      </w:r>
    </w:p>
    <w:tbl>
      <w:tblPr>
        <w:tblStyle w:val="TableGrid"/>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1620"/>
        <w:gridCol w:w="1915"/>
        <w:gridCol w:w="1505"/>
        <w:gridCol w:w="1916"/>
      </w:tblGrid>
      <w:tr w:rsidR="00454C68" w:rsidTr="00E7457B">
        <w:trPr>
          <w:cantSplit/>
          <w:tblHeader/>
        </w:trPr>
        <w:tc>
          <w:tcPr>
            <w:tcW w:w="2275"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Fee Category</w:t>
            </w:r>
          </w:p>
        </w:tc>
        <w:tc>
          <w:tcPr>
            <w:tcW w:w="1620" w:type="dxa"/>
            <w:tcBorders>
              <w:bottom w:val="single" w:sz="2" w:space="0" w:color="auto"/>
            </w:tcBorders>
            <w:tcMar>
              <w:top w:w="58" w:type="dxa"/>
              <w:left w:w="115" w:type="dxa"/>
              <w:bottom w:w="58" w:type="dxa"/>
              <w:right w:w="115" w:type="dxa"/>
            </w:tcMar>
            <w:vAlign w:val="bottom"/>
          </w:tcPr>
          <w:p w:rsidR="00454C68" w:rsidRPr="00094EEE" w:rsidRDefault="00454C68" w:rsidP="00E5446A">
            <w:pPr>
              <w:widowControl/>
              <w:spacing w:after="0"/>
              <w:jc w:val="center"/>
              <w:rPr>
                <w:b/>
                <w:sz w:val="18"/>
                <w:szCs w:val="18"/>
              </w:rPr>
            </w:pPr>
            <w:r>
              <w:rPr>
                <w:b/>
                <w:sz w:val="18"/>
                <w:szCs w:val="18"/>
              </w:rPr>
              <w:t>201</w:t>
            </w:r>
            <w:r w:rsidR="00E5446A">
              <w:rPr>
                <w:b/>
                <w:sz w:val="18"/>
                <w:szCs w:val="18"/>
              </w:rPr>
              <w:t>5</w:t>
            </w:r>
            <w:r w:rsidR="00C9542D">
              <w:rPr>
                <w:b/>
                <w:sz w:val="18"/>
                <w:szCs w:val="18"/>
              </w:rPr>
              <w:t xml:space="preserve"> ($)</w:t>
            </w:r>
          </w:p>
        </w:tc>
        <w:tc>
          <w:tcPr>
            <w:tcW w:w="1915"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Percentage Approved by the Audit Committee</w:t>
            </w:r>
          </w:p>
        </w:tc>
        <w:tc>
          <w:tcPr>
            <w:tcW w:w="1505" w:type="dxa"/>
            <w:tcBorders>
              <w:bottom w:val="single" w:sz="2" w:space="0" w:color="auto"/>
            </w:tcBorders>
            <w:tcMar>
              <w:top w:w="58" w:type="dxa"/>
              <w:left w:w="115" w:type="dxa"/>
              <w:bottom w:w="58" w:type="dxa"/>
              <w:right w:w="115" w:type="dxa"/>
            </w:tcMar>
            <w:vAlign w:val="bottom"/>
          </w:tcPr>
          <w:p w:rsidR="00454C68" w:rsidRPr="00094EEE" w:rsidRDefault="00454C68" w:rsidP="00E5446A">
            <w:pPr>
              <w:widowControl/>
              <w:spacing w:after="0"/>
              <w:jc w:val="center"/>
              <w:rPr>
                <w:b/>
                <w:sz w:val="18"/>
                <w:szCs w:val="18"/>
              </w:rPr>
            </w:pPr>
            <w:r w:rsidRPr="00094EEE">
              <w:rPr>
                <w:b/>
                <w:sz w:val="18"/>
                <w:szCs w:val="18"/>
              </w:rPr>
              <w:t>201</w:t>
            </w:r>
            <w:r w:rsidR="00E5446A">
              <w:rPr>
                <w:b/>
                <w:sz w:val="18"/>
                <w:szCs w:val="18"/>
              </w:rPr>
              <w:t>4</w:t>
            </w:r>
            <w:r w:rsidR="00C9542D">
              <w:rPr>
                <w:b/>
                <w:sz w:val="18"/>
                <w:szCs w:val="18"/>
              </w:rPr>
              <w:t xml:space="preserve"> ($)</w:t>
            </w:r>
          </w:p>
        </w:tc>
        <w:tc>
          <w:tcPr>
            <w:tcW w:w="1916" w:type="dxa"/>
            <w:tcBorders>
              <w:bottom w:val="single" w:sz="2" w:space="0" w:color="auto"/>
            </w:tcBorders>
            <w:tcMar>
              <w:top w:w="58" w:type="dxa"/>
              <w:left w:w="115" w:type="dxa"/>
              <w:bottom w:w="58" w:type="dxa"/>
              <w:right w:w="115" w:type="dxa"/>
            </w:tcMar>
            <w:vAlign w:val="bottom"/>
          </w:tcPr>
          <w:p w:rsidR="00454C68" w:rsidRPr="00094EEE" w:rsidRDefault="00454C68" w:rsidP="00075F08">
            <w:pPr>
              <w:widowControl/>
              <w:spacing w:after="0"/>
              <w:jc w:val="center"/>
              <w:rPr>
                <w:b/>
                <w:sz w:val="18"/>
                <w:szCs w:val="18"/>
              </w:rPr>
            </w:pPr>
            <w:r w:rsidRPr="00094EEE">
              <w:rPr>
                <w:b/>
                <w:sz w:val="18"/>
                <w:szCs w:val="18"/>
              </w:rPr>
              <w:t>Percentage Approved by the Audit Committee</w:t>
            </w:r>
          </w:p>
        </w:tc>
      </w:tr>
      <w:tr w:rsidR="00E5446A" w:rsidTr="009070AF">
        <w:tc>
          <w:tcPr>
            <w:tcW w:w="2275" w:type="dxa"/>
            <w:tcBorders>
              <w:top w:val="single" w:sz="2" w:space="0" w:color="auto"/>
            </w:tcBorders>
            <w:shd w:val="clear" w:color="auto" w:fill="C6D9F1" w:themeFill="text2" w:themeFillTint="33"/>
            <w:tcMar>
              <w:top w:w="58" w:type="dxa"/>
              <w:left w:w="115" w:type="dxa"/>
              <w:bottom w:w="58" w:type="dxa"/>
              <w:right w:w="115" w:type="dxa"/>
            </w:tcMar>
            <w:vAlign w:val="center"/>
          </w:tcPr>
          <w:p w:rsidR="00E5446A" w:rsidRPr="00A617E3" w:rsidRDefault="00E5446A" w:rsidP="00075F08">
            <w:pPr>
              <w:spacing w:after="0"/>
              <w:jc w:val="left"/>
              <w:rPr>
                <w:sz w:val="20"/>
              </w:rPr>
            </w:pPr>
            <w:r w:rsidRPr="00A617E3">
              <w:rPr>
                <w:sz w:val="20"/>
              </w:rPr>
              <w:t>Audit Fees:</w:t>
            </w:r>
          </w:p>
        </w:tc>
        <w:tc>
          <w:tcPr>
            <w:tcW w:w="1620" w:type="dxa"/>
            <w:tcBorders>
              <w:top w:val="single" w:sz="2" w:space="0" w:color="auto"/>
            </w:tcBorders>
            <w:shd w:val="clear" w:color="auto" w:fill="C6D9F1" w:themeFill="text2" w:themeFillTint="33"/>
            <w:tcMar>
              <w:top w:w="58" w:type="dxa"/>
              <w:left w:w="115" w:type="dxa"/>
              <w:bottom w:w="58" w:type="dxa"/>
              <w:right w:w="115" w:type="dxa"/>
            </w:tcMar>
            <w:vAlign w:val="center"/>
          </w:tcPr>
          <w:p w:rsidR="00E5446A" w:rsidRPr="00033D6D" w:rsidRDefault="004920F4" w:rsidP="00075F08">
            <w:pPr>
              <w:widowControl/>
              <w:spacing w:after="0"/>
              <w:jc w:val="center"/>
              <w:rPr>
                <w:sz w:val="20"/>
              </w:rPr>
            </w:pPr>
            <w:r w:rsidRPr="004920F4">
              <w:rPr>
                <w:sz w:val="20"/>
              </w:rPr>
              <w:t>1,047,180</w:t>
            </w:r>
          </w:p>
        </w:tc>
        <w:tc>
          <w:tcPr>
            <w:tcW w:w="1915" w:type="dxa"/>
            <w:tcBorders>
              <w:top w:val="single" w:sz="2" w:space="0" w:color="auto"/>
            </w:tcBorders>
            <w:shd w:val="clear" w:color="auto" w:fill="C6D9F1" w:themeFill="text2" w:themeFillTint="33"/>
            <w:tcMar>
              <w:top w:w="58" w:type="dxa"/>
              <w:left w:w="115" w:type="dxa"/>
              <w:bottom w:w="58" w:type="dxa"/>
              <w:right w:w="115" w:type="dxa"/>
            </w:tcMar>
            <w:vAlign w:val="center"/>
          </w:tcPr>
          <w:p w:rsidR="00E5446A" w:rsidRPr="00033D6D" w:rsidRDefault="00E5446A" w:rsidP="00075F08">
            <w:pPr>
              <w:widowControl/>
              <w:spacing w:after="0"/>
              <w:jc w:val="center"/>
              <w:rPr>
                <w:sz w:val="20"/>
              </w:rPr>
            </w:pPr>
            <w:r w:rsidRPr="00033D6D">
              <w:rPr>
                <w:sz w:val="20"/>
              </w:rPr>
              <w:t>100%</w:t>
            </w:r>
          </w:p>
        </w:tc>
        <w:tc>
          <w:tcPr>
            <w:tcW w:w="1505" w:type="dxa"/>
            <w:tcBorders>
              <w:top w:val="single" w:sz="2" w:space="0" w:color="auto"/>
            </w:tcBorders>
            <w:shd w:val="clear" w:color="auto" w:fill="C6D9F1" w:themeFill="text2" w:themeFillTint="33"/>
            <w:tcMar>
              <w:top w:w="58" w:type="dxa"/>
              <w:left w:w="115" w:type="dxa"/>
              <w:bottom w:w="58" w:type="dxa"/>
              <w:right w:w="115" w:type="dxa"/>
            </w:tcMar>
            <w:vAlign w:val="center"/>
          </w:tcPr>
          <w:p w:rsidR="00E5446A" w:rsidRPr="00033D6D" w:rsidRDefault="00E5446A" w:rsidP="00B80C00">
            <w:pPr>
              <w:widowControl/>
              <w:spacing w:after="0"/>
              <w:jc w:val="center"/>
              <w:rPr>
                <w:sz w:val="20"/>
              </w:rPr>
            </w:pPr>
            <w:r w:rsidRPr="00033D6D">
              <w:rPr>
                <w:sz w:val="20"/>
              </w:rPr>
              <w:t>87</w:t>
            </w:r>
            <w:r w:rsidR="00B80C00">
              <w:rPr>
                <w:sz w:val="20"/>
              </w:rPr>
              <w:t>2</w:t>
            </w:r>
            <w:r w:rsidRPr="00033D6D">
              <w:rPr>
                <w:sz w:val="20"/>
              </w:rPr>
              <w:t>,</w:t>
            </w:r>
            <w:r w:rsidR="00B80C00">
              <w:rPr>
                <w:sz w:val="20"/>
              </w:rPr>
              <w:t>764</w:t>
            </w:r>
          </w:p>
        </w:tc>
        <w:tc>
          <w:tcPr>
            <w:tcW w:w="1916" w:type="dxa"/>
            <w:tcBorders>
              <w:top w:val="single" w:sz="2" w:space="0" w:color="auto"/>
            </w:tcBorders>
            <w:shd w:val="clear" w:color="auto" w:fill="C6D9F1" w:themeFill="text2" w:themeFillTint="33"/>
            <w:tcMar>
              <w:top w:w="58" w:type="dxa"/>
              <w:left w:w="115" w:type="dxa"/>
              <w:bottom w:w="58" w:type="dxa"/>
              <w:right w:w="115" w:type="dxa"/>
            </w:tcMar>
            <w:vAlign w:val="center"/>
          </w:tcPr>
          <w:p w:rsidR="00E5446A" w:rsidRPr="00A617E3" w:rsidRDefault="00E5446A" w:rsidP="00075F08">
            <w:pPr>
              <w:widowControl/>
              <w:spacing w:after="0"/>
              <w:jc w:val="center"/>
              <w:rPr>
                <w:sz w:val="20"/>
              </w:rPr>
            </w:pPr>
            <w:r w:rsidRPr="00A617E3">
              <w:rPr>
                <w:sz w:val="20"/>
              </w:rPr>
              <w:t>100%</w:t>
            </w:r>
          </w:p>
        </w:tc>
      </w:tr>
      <w:tr w:rsidR="00E5446A" w:rsidTr="00A617E3">
        <w:tc>
          <w:tcPr>
            <w:tcW w:w="2275" w:type="dxa"/>
            <w:tcMar>
              <w:top w:w="58" w:type="dxa"/>
              <w:left w:w="115" w:type="dxa"/>
              <w:bottom w:w="58" w:type="dxa"/>
              <w:right w:w="115" w:type="dxa"/>
            </w:tcMar>
            <w:vAlign w:val="center"/>
          </w:tcPr>
          <w:p w:rsidR="00E5446A" w:rsidRPr="00A617E3" w:rsidRDefault="00E5446A" w:rsidP="00075F08">
            <w:pPr>
              <w:spacing w:after="0"/>
              <w:jc w:val="left"/>
              <w:rPr>
                <w:sz w:val="20"/>
              </w:rPr>
            </w:pPr>
            <w:r w:rsidRPr="00A617E3">
              <w:rPr>
                <w:sz w:val="20"/>
              </w:rPr>
              <w:t>Audit-Related Fees:</w:t>
            </w:r>
          </w:p>
        </w:tc>
        <w:tc>
          <w:tcPr>
            <w:tcW w:w="1620" w:type="dxa"/>
            <w:tcMar>
              <w:top w:w="58" w:type="dxa"/>
              <w:left w:w="115" w:type="dxa"/>
              <w:bottom w:w="58" w:type="dxa"/>
              <w:right w:w="115" w:type="dxa"/>
            </w:tcMar>
            <w:vAlign w:val="center"/>
          </w:tcPr>
          <w:p w:rsidR="00E5446A" w:rsidRPr="00033D6D" w:rsidRDefault="007C60A4" w:rsidP="00075F08">
            <w:pPr>
              <w:widowControl/>
              <w:spacing w:after="0"/>
              <w:jc w:val="center"/>
              <w:rPr>
                <w:sz w:val="20"/>
              </w:rPr>
            </w:pPr>
            <w:r>
              <w:rPr>
                <w:sz w:val="20"/>
              </w:rPr>
              <w:t>—</w:t>
            </w:r>
          </w:p>
        </w:tc>
        <w:tc>
          <w:tcPr>
            <w:tcW w:w="1915" w:type="dxa"/>
            <w:tcMar>
              <w:top w:w="58" w:type="dxa"/>
              <w:left w:w="115" w:type="dxa"/>
              <w:bottom w:w="58" w:type="dxa"/>
              <w:right w:w="115" w:type="dxa"/>
            </w:tcMar>
            <w:vAlign w:val="center"/>
          </w:tcPr>
          <w:p w:rsidR="00E5446A" w:rsidRPr="00A617E3" w:rsidRDefault="00E5446A" w:rsidP="00075F08">
            <w:pPr>
              <w:widowControl/>
              <w:spacing w:after="0"/>
              <w:jc w:val="center"/>
              <w:rPr>
                <w:sz w:val="20"/>
              </w:rPr>
            </w:pPr>
            <w:r>
              <w:rPr>
                <w:sz w:val="20"/>
              </w:rPr>
              <w:t>N/A</w:t>
            </w:r>
          </w:p>
        </w:tc>
        <w:tc>
          <w:tcPr>
            <w:tcW w:w="1505" w:type="dxa"/>
            <w:tcMar>
              <w:top w:w="58" w:type="dxa"/>
              <w:left w:w="115" w:type="dxa"/>
              <w:bottom w:w="58" w:type="dxa"/>
              <w:right w:w="115" w:type="dxa"/>
            </w:tcMar>
            <w:vAlign w:val="center"/>
          </w:tcPr>
          <w:p w:rsidR="00E5446A" w:rsidRPr="00033D6D" w:rsidRDefault="00E5446A" w:rsidP="0030397C">
            <w:pPr>
              <w:widowControl/>
              <w:spacing w:after="0"/>
              <w:jc w:val="center"/>
              <w:rPr>
                <w:sz w:val="20"/>
              </w:rPr>
            </w:pPr>
            <w:r w:rsidRPr="00033D6D">
              <w:rPr>
                <w:sz w:val="20"/>
              </w:rPr>
              <w:t>—</w:t>
            </w:r>
          </w:p>
        </w:tc>
        <w:tc>
          <w:tcPr>
            <w:tcW w:w="1916" w:type="dxa"/>
            <w:tcMar>
              <w:top w:w="58" w:type="dxa"/>
              <w:left w:w="115" w:type="dxa"/>
              <w:bottom w:w="58" w:type="dxa"/>
              <w:right w:w="115" w:type="dxa"/>
            </w:tcMar>
            <w:vAlign w:val="center"/>
          </w:tcPr>
          <w:p w:rsidR="00E5446A" w:rsidRPr="00A617E3" w:rsidRDefault="00E5446A" w:rsidP="00075F08">
            <w:pPr>
              <w:widowControl/>
              <w:spacing w:after="0"/>
              <w:jc w:val="center"/>
              <w:rPr>
                <w:sz w:val="20"/>
              </w:rPr>
            </w:pPr>
            <w:r w:rsidRPr="00A617E3">
              <w:rPr>
                <w:sz w:val="20"/>
              </w:rPr>
              <w:t>N/A</w:t>
            </w:r>
          </w:p>
        </w:tc>
      </w:tr>
      <w:tr w:rsidR="00E5446A" w:rsidTr="009070AF">
        <w:tc>
          <w:tcPr>
            <w:tcW w:w="2275" w:type="dxa"/>
            <w:shd w:val="clear" w:color="auto" w:fill="C6D9F1" w:themeFill="text2" w:themeFillTint="33"/>
            <w:tcMar>
              <w:top w:w="58" w:type="dxa"/>
              <w:left w:w="115" w:type="dxa"/>
              <w:bottom w:w="58" w:type="dxa"/>
              <w:right w:w="115" w:type="dxa"/>
            </w:tcMar>
            <w:vAlign w:val="center"/>
          </w:tcPr>
          <w:p w:rsidR="00E5446A" w:rsidRPr="00A617E3" w:rsidRDefault="00E5446A" w:rsidP="00075F08">
            <w:pPr>
              <w:spacing w:after="0"/>
              <w:jc w:val="left"/>
              <w:rPr>
                <w:sz w:val="20"/>
              </w:rPr>
            </w:pPr>
            <w:r w:rsidRPr="00A617E3">
              <w:rPr>
                <w:sz w:val="20"/>
              </w:rPr>
              <w:t>Tax Fees:</w:t>
            </w:r>
          </w:p>
        </w:tc>
        <w:tc>
          <w:tcPr>
            <w:tcW w:w="1620" w:type="dxa"/>
            <w:shd w:val="clear" w:color="auto" w:fill="C6D9F1" w:themeFill="text2" w:themeFillTint="33"/>
            <w:tcMar>
              <w:top w:w="58" w:type="dxa"/>
              <w:left w:w="115" w:type="dxa"/>
              <w:bottom w:w="58" w:type="dxa"/>
              <w:right w:w="115" w:type="dxa"/>
            </w:tcMar>
            <w:vAlign w:val="center"/>
          </w:tcPr>
          <w:p w:rsidR="00E5446A" w:rsidRPr="00033D6D" w:rsidRDefault="007C60A4" w:rsidP="00075F08">
            <w:pPr>
              <w:widowControl/>
              <w:spacing w:after="0"/>
              <w:jc w:val="center"/>
              <w:rPr>
                <w:sz w:val="20"/>
              </w:rPr>
            </w:pPr>
            <w:r>
              <w:rPr>
                <w:sz w:val="20"/>
              </w:rPr>
              <w:t>—</w:t>
            </w:r>
          </w:p>
        </w:tc>
        <w:tc>
          <w:tcPr>
            <w:tcW w:w="1915" w:type="dxa"/>
            <w:shd w:val="clear" w:color="auto" w:fill="C6D9F1" w:themeFill="text2" w:themeFillTint="33"/>
            <w:tcMar>
              <w:top w:w="58" w:type="dxa"/>
              <w:left w:w="115" w:type="dxa"/>
              <w:bottom w:w="58" w:type="dxa"/>
              <w:right w:w="115" w:type="dxa"/>
            </w:tcMar>
            <w:vAlign w:val="center"/>
          </w:tcPr>
          <w:p w:rsidR="00E5446A" w:rsidRPr="00A617E3" w:rsidRDefault="00E5446A" w:rsidP="00075F08">
            <w:pPr>
              <w:widowControl/>
              <w:spacing w:after="0"/>
              <w:jc w:val="center"/>
              <w:rPr>
                <w:sz w:val="20"/>
              </w:rPr>
            </w:pPr>
            <w:r>
              <w:rPr>
                <w:sz w:val="20"/>
              </w:rPr>
              <w:t>N/A</w:t>
            </w:r>
          </w:p>
        </w:tc>
        <w:tc>
          <w:tcPr>
            <w:tcW w:w="1505" w:type="dxa"/>
            <w:shd w:val="clear" w:color="auto" w:fill="C6D9F1" w:themeFill="text2" w:themeFillTint="33"/>
            <w:tcMar>
              <w:top w:w="58" w:type="dxa"/>
              <w:left w:w="115" w:type="dxa"/>
              <w:bottom w:w="58" w:type="dxa"/>
              <w:right w:w="115" w:type="dxa"/>
            </w:tcMar>
            <w:vAlign w:val="center"/>
          </w:tcPr>
          <w:p w:rsidR="00E5446A" w:rsidRPr="00033D6D" w:rsidRDefault="00E5446A" w:rsidP="0030397C">
            <w:pPr>
              <w:widowControl/>
              <w:spacing w:after="0"/>
              <w:jc w:val="center"/>
              <w:rPr>
                <w:sz w:val="20"/>
              </w:rPr>
            </w:pPr>
            <w:r w:rsidRPr="00033D6D">
              <w:rPr>
                <w:sz w:val="20"/>
              </w:rPr>
              <w:t>—</w:t>
            </w:r>
          </w:p>
        </w:tc>
        <w:tc>
          <w:tcPr>
            <w:tcW w:w="1916" w:type="dxa"/>
            <w:shd w:val="clear" w:color="auto" w:fill="C6D9F1" w:themeFill="text2" w:themeFillTint="33"/>
            <w:tcMar>
              <w:top w:w="58" w:type="dxa"/>
              <w:left w:w="115" w:type="dxa"/>
              <w:bottom w:w="58" w:type="dxa"/>
              <w:right w:w="115" w:type="dxa"/>
            </w:tcMar>
            <w:vAlign w:val="center"/>
          </w:tcPr>
          <w:p w:rsidR="00E5446A" w:rsidRPr="00A617E3" w:rsidRDefault="00E5446A" w:rsidP="00075F08">
            <w:pPr>
              <w:widowControl/>
              <w:spacing w:after="0"/>
              <w:jc w:val="center"/>
              <w:rPr>
                <w:sz w:val="20"/>
              </w:rPr>
            </w:pPr>
            <w:r w:rsidRPr="00A617E3">
              <w:rPr>
                <w:sz w:val="20"/>
              </w:rPr>
              <w:t>N/A</w:t>
            </w:r>
          </w:p>
        </w:tc>
      </w:tr>
      <w:tr w:rsidR="00E5446A" w:rsidTr="00D15BE8">
        <w:tc>
          <w:tcPr>
            <w:tcW w:w="2275" w:type="dxa"/>
            <w:tcBorders>
              <w:bottom w:val="single" w:sz="4" w:space="0" w:color="auto"/>
            </w:tcBorders>
            <w:tcMar>
              <w:top w:w="58" w:type="dxa"/>
              <w:left w:w="115" w:type="dxa"/>
              <w:bottom w:w="58" w:type="dxa"/>
              <w:right w:w="115" w:type="dxa"/>
            </w:tcMar>
            <w:vAlign w:val="center"/>
          </w:tcPr>
          <w:p w:rsidR="00E5446A" w:rsidRDefault="00E5446A" w:rsidP="00075F08">
            <w:pPr>
              <w:spacing w:after="0"/>
              <w:jc w:val="left"/>
              <w:rPr>
                <w:sz w:val="20"/>
              </w:rPr>
            </w:pPr>
            <w:r w:rsidRPr="00A617E3">
              <w:rPr>
                <w:sz w:val="20"/>
              </w:rPr>
              <w:t>All Other Fees</w:t>
            </w:r>
          </w:p>
          <w:p w:rsidR="00E5446A" w:rsidRPr="00A617E3" w:rsidRDefault="00E5446A" w:rsidP="00075F08">
            <w:pPr>
              <w:spacing w:after="0"/>
              <w:jc w:val="left"/>
              <w:rPr>
                <w:sz w:val="20"/>
              </w:rPr>
            </w:pPr>
            <w:r>
              <w:rPr>
                <w:sz w:val="20"/>
              </w:rPr>
              <w:t>(non-audit fees)</w:t>
            </w:r>
            <w:r w:rsidRPr="00A617E3">
              <w:rPr>
                <w:sz w:val="20"/>
              </w:rPr>
              <w:t>:</w:t>
            </w:r>
          </w:p>
        </w:tc>
        <w:tc>
          <w:tcPr>
            <w:tcW w:w="1620" w:type="dxa"/>
            <w:tcBorders>
              <w:bottom w:val="single" w:sz="4" w:space="0" w:color="auto"/>
            </w:tcBorders>
            <w:tcMar>
              <w:top w:w="58" w:type="dxa"/>
              <w:left w:w="115" w:type="dxa"/>
              <w:bottom w:w="58" w:type="dxa"/>
              <w:right w:w="115" w:type="dxa"/>
            </w:tcMar>
            <w:vAlign w:val="bottom"/>
          </w:tcPr>
          <w:p w:rsidR="00E5446A" w:rsidRPr="00033D6D" w:rsidRDefault="007C60A4" w:rsidP="00080D8E">
            <w:pPr>
              <w:widowControl/>
              <w:spacing w:after="0"/>
              <w:jc w:val="center"/>
              <w:rPr>
                <w:sz w:val="20"/>
              </w:rPr>
            </w:pPr>
            <w:r>
              <w:rPr>
                <w:sz w:val="20"/>
              </w:rPr>
              <w:t>—</w:t>
            </w:r>
          </w:p>
        </w:tc>
        <w:tc>
          <w:tcPr>
            <w:tcW w:w="1915" w:type="dxa"/>
            <w:tcBorders>
              <w:bottom w:val="single" w:sz="4" w:space="0" w:color="auto"/>
            </w:tcBorders>
            <w:tcMar>
              <w:top w:w="58" w:type="dxa"/>
              <w:left w:w="115" w:type="dxa"/>
              <w:bottom w:w="58" w:type="dxa"/>
              <w:right w:w="115" w:type="dxa"/>
            </w:tcMar>
            <w:vAlign w:val="bottom"/>
          </w:tcPr>
          <w:p w:rsidR="00E5446A" w:rsidRPr="00A617E3" w:rsidRDefault="00E5446A" w:rsidP="00080D8E">
            <w:pPr>
              <w:widowControl/>
              <w:spacing w:after="0"/>
              <w:jc w:val="center"/>
              <w:rPr>
                <w:sz w:val="20"/>
              </w:rPr>
            </w:pPr>
            <w:r>
              <w:rPr>
                <w:sz w:val="20"/>
              </w:rPr>
              <w:t>N/A</w:t>
            </w:r>
          </w:p>
        </w:tc>
        <w:tc>
          <w:tcPr>
            <w:tcW w:w="1505" w:type="dxa"/>
            <w:tcBorders>
              <w:bottom w:val="single" w:sz="4" w:space="0" w:color="auto"/>
            </w:tcBorders>
            <w:tcMar>
              <w:top w:w="58" w:type="dxa"/>
              <w:left w:w="115" w:type="dxa"/>
              <w:bottom w:w="58" w:type="dxa"/>
              <w:right w:w="115" w:type="dxa"/>
            </w:tcMar>
            <w:vAlign w:val="bottom"/>
          </w:tcPr>
          <w:p w:rsidR="00E5446A" w:rsidRPr="00033D6D" w:rsidRDefault="00E5446A" w:rsidP="0030397C">
            <w:pPr>
              <w:widowControl/>
              <w:spacing w:after="0"/>
              <w:jc w:val="center"/>
              <w:rPr>
                <w:sz w:val="20"/>
              </w:rPr>
            </w:pPr>
            <w:r w:rsidRPr="00033D6D">
              <w:rPr>
                <w:sz w:val="20"/>
              </w:rPr>
              <w:t>—</w:t>
            </w:r>
          </w:p>
        </w:tc>
        <w:tc>
          <w:tcPr>
            <w:tcW w:w="1916" w:type="dxa"/>
            <w:tcBorders>
              <w:bottom w:val="single" w:sz="4" w:space="0" w:color="auto"/>
            </w:tcBorders>
            <w:tcMar>
              <w:top w:w="58" w:type="dxa"/>
              <w:left w:w="115" w:type="dxa"/>
              <w:bottom w:w="58" w:type="dxa"/>
              <w:right w:w="115" w:type="dxa"/>
            </w:tcMar>
            <w:vAlign w:val="center"/>
          </w:tcPr>
          <w:p w:rsidR="00E5446A" w:rsidRPr="00A617E3" w:rsidRDefault="00E5446A" w:rsidP="00D15BE8">
            <w:pPr>
              <w:widowControl/>
              <w:spacing w:after="0"/>
              <w:jc w:val="center"/>
              <w:rPr>
                <w:sz w:val="20"/>
              </w:rPr>
            </w:pPr>
            <w:r w:rsidRPr="00A617E3">
              <w:rPr>
                <w:sz w:val="20"/>
              </w:rPr>
              <w:t>N/A</w:t>
            </w:r>
          </w:p>
        </w:tc>
      </w:tr>
    </w:tbl>
    <w:p w:rsidR="002A2551" w:rsidRDefault="002A2551" w:rsidP="001F5DCA">
      <w:pPr>
        <w:widowControl/>
        <w:spacing w:before="240" w:after="60"/>
        <w:jc w:val="left"/>
      </w:pPr>
      <w:bookmarkStart w:id="121" w:name="_Toc381354161"/>
      <w:bookmarkStart w:id="122" w:name="_Toc445739603"/>
      <w:r w:rsidRPr="008D2A91">
        <w:rPr>
          <w:rStyle w:val="002ProxyChar"/>
        </w:rPr>
        <w:t>Audit Fees</w:t>
      </w:r>
      <w:bookmarkEnd w:id="121"/>
      <w:bookmarkEnd w:id="122"/>
      <w:r>
        <w:t>.</w:t>
      </w:r>
      <w:r w:rsidR="008D2A91">
        <w:t xml:space="preserve">  </w:t>
      </w:r>
      <w:r>
        <w:t>In 201</w:t>
      </w:r>
      <w:r w:rsidR="00E5446A">
        <w:t>5</w:t>
      </w:r>
      <w:r>
        <w:t xml:space="preserve"> and 201</w:t>
      </w:r>
      <w:r w:rsidR="00E5446A">
        <w:t>4</w:t>
      </w:r>
      <w:r>
        <w:t xml:space="preserve">, audit fees included the fees and expenses for Grant Thornton's audit of the consolidated financial statements included in the Company's Annual Report on Form 10-K for those years; the reviews of the consolidated financial statements included in the Company's quarterly reports on Form 10-Q; the resolution of issues that arose during the audit process; attestation work required by Section 404 of the Sarbanes-Oxley Act of 2002; and other audit services that are normally provided in connection with statutory and regulatory filings.  </w:t>
      </w:r>
      <w:r w:rsidR="00033D6D">
        <w:t>In 2014, a portion of the audit fees related to the Company's May 2014 public offering of common stock.</w:t>
      </w:r>
    </w:p>
    <w:p w:rsidR="002A2551" w:rsidRDefault="00E5446A" w:rsidP="00E7457B">
      <w:pPr>
        <w:widowControl/>
        <w:jc w:val="left"/>
      </w:pPr>
      <w:r>
        <w:t>Of the audit fees for 2015 reflected in the above table, $</w:t>
      </w:r>
      <w:r w:rsidR="007C60A4" w:rsidRPr="007C60A4">
        <w:t>778,771</w:t>
      </w:r>
      <w:r w:rsidR="007C60A4">
        <w:t xml:space="preserve"> </w:t>
      </w:r>
      <w:r>
        <w:t xml:space="preserve">had been billed by December 31, 2015.  </w:t>
      </w:r>
      <w:r w:rsidR="002A2551">
        <w:t>Of the audit fees for 201</w:t>
      </w:r>
      <w:r>
        <w:t>4</w:t>
      </w:r>
      <w:r w:rsidR="002A2551">
        <w:t xml:space="preserve"> reflected in the above table, </w:t>
      </w:r>
      <w:r w:rsidR="002A2551" w:rsidRPr="00033D6D">
        <w:t>$</w:t>
      </w:r>
      <w:r w:rsidR="00033D6D" w:rsidRPr="00033D6D">
        <w:t>619,188</w:t>
      </w:r>
      <w:r w:rsidR="00033D6D">
        <w:t xml:space="preserve"> </w:t>
      </w:r>
      <w:r w:rsidR="002A2551">
        <w:t>had been billed by December 31, 201</w:t>
      </w:r>
      <w:r w:rsidR="00454C68">
        <w:t>4</w:t>
      </w:r>
      <w:r w:rsidR="002A2551">
        <w:t xml:space="preserve">.  </w:t>
      </w:r>
    </w:p>
    <w:p w:rsidR="002A2551" w:rsidRDefault="002A2551" w:rsidP="001F5DCA">
      <w:pPr>
        <w:widowControl/>
        <w:spacing w:after="60"/>
        <w:jc w:val="left"/>
      </w:pPr>
      <w:bookmarkStart w:id="123" w:name="_Toc381354162"/>
      <w:bookmarkStart w:id="124" w:name="_Toc445739604"/>
      <w:r w:rsidRPr="008D2A91">
        <w:rPr>
          <w:rStyle w:val="002ProxyChar"/>
        </w:rPr>
        <w:t>Audit-Related Fees</w:t>
      </w:r>
      <w:bookmarkEnd w:id="123"/>
      <w:bookmarkEnd w:id="124"/>
      <w:r>
        <w:t>.  In 201</w:t>
      </w:r>
      <w:r w:rsidR="00E5446A">
        <w:t>5</w:t>
      </w:r>
      <w:r>
        <w:t xml:space="preserve"> and 201</w:t>
      </w:r>
      <w:r w:rsidR="00E5446A">
        <w:t>4</w:t>
      </w:r>
      <w:r>
        <w:t xml:space="preserve">, </w:t>
      </w:r>
      <w:r w:rsidRPr="000171FC">
        <w:t>the Company incurred no fees in this category.</w:t>
      </w:r>
      <w:r>
        <w:t xml:space="preserve">  </w:t>
      </w:r>
    </w:p>
    <w:p w:rsidR="002A2551" w:rsidRPr="00033D6D" w:rsidRDefault="002A2551" w:rsidP="005E21A4">
      <w:pPr>
        <w:jc w:val="left"/>
      </w:pPr>
      <w:bookmarkStart w:id="125" w:name="_Toc381354163"/>
      <w:bookmarkStart w:id="126" w:name="_Toc445739605"/>
      <w:r w:rsidRPr="008D2A91">
        <w:rPr>
          <w:rStyle w:val="002ProxyChar"/>
        </w:rPr>
        <w:lastRenderedPageBreak/>
        <w:t>Tax Fees</w:t>
      </w:r>
      <w:bookmarkEnd w:id="125"/>
      <w:bookmarkEnd w:id="126"/>
      <w:r>
        <w:t xml:space="preserve">.  The Company's independent registered public accounting firm occasionally provides tax consulting services to the Company.  </w:t>
      </w:r>
      <w:r w:rsidRPr="000171FC">
        <w:t>No fees for such services were inc</w:t>
      </w:r>
      <w:r w:rsidR="00454C68" w:rsidRPr="000171FC">
        <w:t>urred in 201</w:t>
      </w:r>
      <w:r w:rsidR="00E5446A" w:rsidRPr="000171FC">
        <w:t xml:space="preserve">5 </w:t>
      </w:r>
      <w:r w:rsidR="00454C68" w:rsidRPr="000171FC">
        <w:t>or 201</w:t>
      </w:r>
      <w:r w:rsidR="00E5446A" w:rsidRPr="000171FC">
        <w:t>4</w:t>
      </w:r>
      <w:r w:rsidRPr="000171FC">
        <w:t>.</w:t>
      </w:r>
      <w:r w:rsidRPr="00033D6D">
        <w:t xml:space="preserve">  </w:t>
      </w:r>
    </w:p>
    <w:p w:rsidR="002A2551" w:rsidRPr="00033D6D" w:rsidRDefault="00080D8E" w:rsidP="005E21A4">
      <w:pPr>
        <w:jc w:val="left"/>
      </w:pPr>
      <w:bookmarkStart w:id="127" w:name="_Toc381354164"/>
      <w:bookmarkStart w:id="128" w:name="_Toc445739606"/>
      <w:r w:rsidRPr="00033D6D">
        <w:rPr>
          <w:rStyle w:val="002ProxyChar"/>
        </w:rPr>
        <w:t>All Other Fees</w:t>
      </w:r>
      <w:r w:rsidRPr="00033D6D">
        <w:rPr>
          <w:rStyle w:val="002ProxyChar"/>
          <w:b w:val="0"/>
        </w:rPr>
        <w:t xml:space="preserve"> (</w:t>
      </w:r>
      <w:r w:rsidR="00027919" w:rsidRPr="00033D6D">
        <w:rPr>
          <w:rStyle w:val="002ProxyChar"/>
          <w:b w:val="0"/>
        </w:rPr>
        <w:t>Non-Audit</w:t>
      </w:r>
      <w:r w:rsidR="002A2551" w:rsidRPr="00033D6D">
        <w:rPr>
          <w:rStyle w:val="002ProxyChar"/>
          <w:b w:val="0"/>
        </w:rPr>
        <w:t xml:space="preserve"> Fees</w:t>
      </w:r>
      <w:bookmarkEnd w:id="127"/>
      <w:r w:rsidRPr="00033D6D">
        <w:rPr>
          <w:rStyle w:val="002ProxyChar"/>
          <w:b w:val="0"/>
        </w:rPr>
        <w:t>)</w:t>
      </w:r>
      <w:bookmarkEnd w:id="128"/>
      <w:r w:rsidR="002A2551" w:rsidRPr="00033D6D">
        <w:t xml:space="preserve">.  </w:t>
      </w:r>
      <w:r w:rsidR="00770C31" w:rsidRPr="00033D6D">
        <w:t>In 201</w:t>
      </w:r>
      <w:r w:rsidR="00E5446A">
        <w:t>5</w:t>
      </w:r>
      <w:r w:rsidR="00770C31" w:rsidRPr="00033D6D">
        <w:t xml:space="preserve"> and 201</w:t>
      </w:r>
      <w:r w:rsidR="00E5446A">
        <w:t>4</w:t>
      </w:r>
      <w:r w:rsidR="00770C31" w:rsidRPr="00033D6D">
        <w:t xml:space="preserve">, </w:t>
      </w:r>
      <w:r w:rsidR="00770C31" w:rsidRPr="004D02CF">
        <w:t xml:space="preserve">there were no fees </w:t>
      </w:r>
      <w:r w:rsidR="00E26F9B" w:rsidRPr="004D02CF">
        <w:t xml:space="preserve">paid to Grant Thornton that are </w:t>
      </w:r>
      <w:r w:rsidR="00770C31" w:rsidRPr="004D02CF">
        <w:t>related to any other services provided to the Company.</w:t>
      </w:r>
      <w:r w:rsidR="00770C31" w:rsidRPr="00033D6D">
        <w:t xml:space="preserve">  </w:t>
      </w:r>
    </w:p>
    <w:p w:rsidR="00234BC1" w:rsidRDefault="002A2551" w:rsidP="005E21A4">
      <w:pPr>
        <w:jc w:val="left"/>
      </w:pPr>
      <w:bookmarkStart w:id="129" w:name="_Toc381354165"/>
      <w:bookmarkStart w:id="130" w:name="_Toc445739607"/>
      <w:r w:rsidRPr="008D2A91">
        <w:rPr>
          <w:rStyle w:val="002ProxyChar"/>
        </w:rPr>
        <w:t>Procedures for Approval of Services</w:t>
      </w:r>
      <w:bookmarkEnd w:id="129"/>
      <w:bookmarkEnd w:id="130"/>
      <w:r>
        <w:t xml:space="preserve">.  All requests for services that are to be provided by the Company's independent registered public accounting firm, which must include a detailed description of the services to be rendered and the amount of corresponding estimated fees, are submitted to both the Company's Chief Financial Officer and the Chair of the Audit Committee.  The Chief Financial Officer authorizes services that have been approved by the </w:t>
      </w:r>
      <w:r w:rsidR="00EA3B1A">
        <w:t>Audit Committee</w:t>
      </w:r>
      <w:r>
        <w:t xml:space="preserve"> within pre-set limits.  If there is any question as to whether a proposed service fits within an approved service, the Chair</w:t>
      </w:r>
      <w:r w:rsidR="0081308A">
        <w:t xml:space="preserve"> </w:t>
      </w:r>
      <w:r>
        <w:t xml:space="preserve">of the </w:t>
      </w:r>
      <w:r w:rsidR="0078683A">
        <w:t xml:space="preserve">Audit Committee </w:t>
      </w:r>
      <w:r>
        <w:t xml:space="preserve">is consulted for a determination.  The Chief Financial Officer submits to the </w:t>
      </w:r>
      <w:r w:rsidR="00EA3B1A">
        <w:t>Audit Committee</w:t>
      </w:r>
      <w:r>
        <w:t xml:space="preserve"> any requests for services that have not already been approved by the </w:t>
      </w:r>
      <w:r w:rsidR="00EA3B1A">
        <w:t>Audit Committee</w:t>
      </w:r>
      <w:r>
        <w:t>.  The request must include an affirmation by the Chief Financial Officer and the independent registered public accounting firm that the request is consistent with the SEC’s rules on auditor independence.</w:t>
      </w:r>
      <w:r w:rsidR="0081308A">
        <w:t xml:space="preserve">  </w:t>
      </w:r>
    </w:p>
    <w:p w:rsidR="002A2551" w:rsidRPr="0064725D" w:rsidRDefault="0064725D" w:rsidP="001F5DCA">
      <w:pPr>
        <w:pStyle w:val="001Proxy"/>
        <w:pBdr>
          <w:bottom w:val="single" w:sz="12" w:space="1" w:color="auto"/>
        </w:pBdr>
        <w:spacing w:after="240"/>
      </w:pPr>
      <w:bookmarkStart w:id="131" w:name="_Toc381354166"/>
      <w:bookmarkStart w:id="132" w:name="_Toc445739608"/>
      <w:r w:rsidRPr="0064725D">
        <w:t>SUBMISSION OF STOCKHOLDER PROPOSALS</w:t>
      </w:r>
      <w:bookmarkEnd w:id="131"/>
      <w:bookmarkEnd w:id="132"/>
    </w:p>
    <w:p w:rsidR="0064725D" w:rsidRDefault="00461396" w:rsidP="001F5DCA">
      <w:pPr>
        <w:widowControl/>
        <w:spacing w:after="60"/>
        <w:jc w:val="left"/>
      </w:pPr>
      <w:r w:rsidRPr="00461396">
        <w:t>Any proposal that a stockholder intends to present at the 201</w:t>
      </w:r>
      <w:r w:rsidR="00CF57CB">
        <w:t>6</w:t>
      </w:r>
      <w:r w:rsidRPr="00461396">
        <w:t xml:space="preserve"> Annual Meeting of Stockholders must be submitted to the Secretary of the Company no later than </w:t>
      </w:r>
      <w:r w:rsidR="00D134EE" w:rsidRPr="008E0354">
        <w:t>November 2</w:t>
      </w:r>
      <w:r w:rsidR="008E0354">
        <w:t>4</w:t>
      </w:r>
      <w:r w:rsidRPr="00F9127D">
        <w:t>, 201</w:t>
      </w:r>
      <w:r w:rsidR="00E5446A">
        <w:t>6</w:t>
      </w:r>
      <w:r w:rsidRPr="00F9127D">
        <w:t xml:space="preserve"> </w:t>
      </w:r>
      <w:r w:rsidRPr="00461396">
        <w:t>in order to be considered timely received.</w:t>
      </w:r>
    </w:p>
    <w:p w:rsidR="00461396" w:rsidRDefault="00461396" w:rsidP="00075F08">
      <w:pPr>
        <w:widowControl/>
        <w:spacing w:after="0"/>
        <w:jc w:val="right"/>
      </w:pPr>
      <w:r>
        <w:t>By Order of the Board of Directors</w:t>
      </w:r>
    </w:p>
    <w:p w:rsidR="00085829" w:rsidRPr="00085829" w:rsidRDefault="00461396" w:rsidP="00AE464D">
      <w:pPr>
        <w:widowControl/>
        <w:jc w:val="right"/>
        <w:rPr>
          <w:b/>
        </w:rPr>
      </w:pPr>
      <w:r>
        <w:t xml:space="preserve">Roger M. Barzun, </w:t>
      </w:r>
      <w:r w:rsidRPr="00461396">
        <w:rPr>
          <w:i/>
        </w:rPr>
        <w:t>Secretary</w:t>
      </w:r>
    </w:p>
    <w:sectPr w:rsidR="00085829" w:rsidRPr="00085829" w:rsidSect="00196AE7">
      <w:footerReference w:type="default" r:id="rId20"/>
      <w:footerReference w:type="first" r:id="rId21"/>
      <w:pgSz w:w="12240" w:h="15840" w:code="1"/>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1E" w:rsidRDefault="003A711E">
      <w:r>
        <w:separator/>
      </w:r>
    </w:p>
  </w:endnote>
  <w:endnote w:type="continuationSeparator" w:id="0">
    <w:p w:rsidR="003A711E" w:rsidRDefault="003A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erminator Two">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8F" w:rsidRDefault="00623D8F" w:rsidP="00AE464D">
    <w:pPr>
      <w:pStyle w:val="Footer"/>
    </w:pPr>
    <w:r>
      <w:t xml:space="preserve">- </w:t>
    </w:r>
    <w:r>
      <w:fldChar w:fldCharType="begin"/>
    </w:r>
    <w:r>
      <w:instrText xml:space="preserve"> PAGE   \* MERGEFORMAT </w:instrText>
    </w:r>
    <w:r>
      <w:fldChar w:fldCharType="separate"/>
    </w:r>
    <w:r w:rsidR="00196AE7">
      <w:t>ii</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8F" w:rsidRPr="005A244F" w:rsidRDefault="00623D8F" w:rsidP="00AE464D">
    <w:pPr>
      <w:pStyle w:val="Footer"/>
    </w:pPr>
    <w:r w:rsidRPr="001606E1">
      <w:t>Proxy Statement Summary</w:t>
    </w:r>
    <w:r>
      <w:t xml:space="preserve"> </w:t>
    </w:r>
    <w:r w:rsidRPr="001606E1">
      <w:t xml:space="preserve">Page </w:t>
    </w:r>
    <w:r w:rsidRPr="001606E1">
      <w:fldChar w:fldCharType="begin"/>
    </w:r>
    <w:r w:rsidRPr="001606E1">
      <w:instrText xml:space="preserve"> PAGE   \* MERGEFORMAT </w:instrText>
    </w:r>
    <w:r w:rsidRPr="001606E1">
      <w:fldChar w:fldCharType="separate"/>
    </w:r>
    <w:r w:rsidR="00196AE7">
      <w:t>IV</w:t>
    </w:r>
    <w:r w:rsidRPr="001606E1">
      <w:fldChar w:fldCharType="end"/>
    </w:r>
    <w:r w:rsidRPr="001606E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D" w:rsidRPr="005A244F" w:rsidRDefault="00AE464D" w:rsidP="00AE464D">
    <w:pPr>
      <w:pStyle w:val="Footer"/>
    </w:pPr>
    <w:r>
      <w:t>-</w:t>
    </w:r>
    <w:r w:rsidRPr="001606E1">
      <w:fldChar w:fldCharType="begin"/>
    </w:r>
    <w:r w:rsidRPr="001606E1">
      <w:instrText xml:space="preserve"> PAGE   \* MERGEFORMAT </w:instrText>
    </w:r>
    <w:r w:rsidRPr="001606E1">
      <w:fldChar w:fldCharType="separate"/>
    </w:r>
    <w:r w:rsidR="00196AE7">
      <w:t>40</w:t>
    </w:r>
    <w:r w:rsidRPr="001606E1">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8F" w:rsidRPr="00613D20" w:rsidRDefault="00623D8F" w:rsidP="00AE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1E" w:rsidRDefault="003A711E">
      <w:r>
        <w:separator/>
      </w:r>
    </w:p>
  </w:footnote>
  <w:footnote w:type="continuationSeparator" w:id="0">
    <w:p w:rsidR="003A711E" w:rsidRDefault="003A7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D43D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04732"/>
    <w:multiLevelType w:val="hybridMultilevel"/>
    <w:tmpl w:val="3A5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2EE7"/>
    <w:multiLevelType w:val="hybridMultilevel"/>
    <w:tmpl w:val="07C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A3EA2"/>
    <w:multiLevelType w:val="hybridMultilevel"/>
    <w:tmpl w:val="39E8CF54"/>
    <w:lvl w:ilvl="0" w:tplc="C232691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0664634C"/>
    <w:multiLevelType w:val="hybridMultilevel"/>
    <w:tmpl w:val="5764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07E5D"/>
    <w:multiLevelType w:val="hybridMultilevel"/>
    <w:tmpl w:val="80DCE7E0"/>
    <w:lvl w:ilvl="0" w:tplc="94061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CB0C8D"/>
    <w:multiLevelType w:val="hybridMultilevel"/>
    <w:tmpl w:val="7926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A24D7E"/>
    <w:multiLevelType w:val="hybridMultilevel"/>
    <w:tmpl w:val="483E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B78D6"/>
    <w:multiLevelType w:val="hybridMultilevel"/>
    <w:tmpl w:val="B7B8A878"/>
    <w:lvl w:ilvl="0" w:tplc="E7CE6BB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1E560A1B"/>
    <w:multiLevelType w:val="hybridMultilevel"/>
    <w:tmpl w:val="9EC4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E0040"/>
    <w:multiLevelType w:val="hybridMultilevel"/>
    <w:tmpl w:val="869A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829FF"/>
    <w:multiLevelType w:val="hybridMultilevel"/>
    <w:tmpl w:val="9588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7505E"/>
    <w:multiLevelType w:val="hybridMultilevel"/>
    <w:tmpl w:val="E2CE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EB7073"/>
    <w:multiLevelType w:val="hybridMultilevel"/>
    <w:tmpl w:val="897615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59436F"/>
    <w:multiLevelType w:val="hybridMultilevel"/>
    <w:tmpl w:val="FA229118"/>
    <w:lvl w:ilvl="0" w:tplc="77F8E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F1E71"/>
    <w:multiLevelType w:val="hybridMultilevel"/>
    <w:tmpl w:val="3766C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0B5985"/>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3242D1C"/>
    <w:multiLevelType w:val="hybridMultilevel"/>
    <w:tmpl w:val="75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319E2"/>
    <w:multiLevelType w:val="hybridMultilevel"/>
    <w:tmpl w:val="4B0A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BD3D4D"/>
    <w:multiLevelType w:val="multilevel"/>
    <w:tmpl w:val="EDAA534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D8B512F"/>
    <w:multiLevelType w:val="hybridMultilevel"/>
    <w:tmpl w:val="E808FFF4"/>
    <w:lvl w:ilvl="0" w:tplc="6D803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523A0"/>
    <w:multiLevelType w:val="hybridMultilevel"/>
    <w:tmpl w:val="E7A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C511D"/>
    <w:multiLevelType w:val="multilevel"/>
    <w:tmpl w:val="2B560A96"/>
    <w:lvl w:ilvl="0">
      <w:start w:val="1"/>
      <w:numFmt w:val="decimal"/>
      <w:pStyle w:val="NonLegalOutline"/>
      <w:lvlText w:val="%1."/>
      <w:lvlJc w:val="left"/>
      <w:pPr>
        <w:tabs>
          <w:tab w:val="num" w:pos="360"/>
        </w:tabs>
        <w:ind w:left="360" w:hanging="360"/>
      </w:pPr>
      <w:rPr>
        <w:rFonts w:ascii="CG Times" w:hAnsi="CG Times" w:hint="default"/>
        <w:b w:val="0"/>
        <w:i w:val="0"/>
        <w:sz w:val="23"/>
      </w:rPr>
    </w:lvl>
    <w:lvl w:ilvl="1">
      <w:start w:val="1"/>
      <w:numFmt w:val="lowerLetter"/>
      <w:lvlText w:val="(%2)"/>
      <w:lvlJc w:val="left"/>
      <w:pPr>
        <w:tabs>
          <w:tab w:val="num" w:pos="720"/>
        </w:tabs>
        <w:ind w:left="720" w:hanging="360"/>
      </w:pPr>
      <w:rPr>
        <w:rFonts w:ascii="Times New Roman" w:hAnsi="Times New Roman" w:hint="default"/>
        <w:b w:val="0"/>
        <w:i w:val="0"/>
        <w:sz w:val="23"/>
      </w:rPr>
    </w:lvl>
    <w:lvl w:ilvl="2">
      <w:start w:val="1"/>
      <w:numFmt w:val="lowerRoman"/>
      <w:lvlText w:val="(%3)"/>
      <w:lvlJc w:val="left"/>
      <w:pPr>
        <w:tabs>
          <w:tab w:val="num" w:pos="1440"/>
        </w:tabs>
        <w:ind w:left="1080" w:hanging="360"/>
      </w:pPr>
      <w:rPr>
        <w:rFonts w:ascii="Times New Roman" w:hAnsi="Times New Roman" w:hint="default"/>
        <w:b w:val="0"/>
        <w:i w:val="0"/>
        <w:sz w:val="23"/>
      </w:rPr>
    </w:lvl>
    <w:lvl w:ilvl="3">
      <w:start w:val="1"/>
      <w:numFmt w:val="upperLetter"/>
      <w:lvlText w:val="(%4)"/>
      <w:lvlJc w:val="left"/>
      <w:pPr>
        <w:tabs>
          <w:tab w:val="num" w:pos="1440"/>
        </w:tabs>
        <w:ind w:left="1440" w:hanging="360"/>
      </w:pPr>
      <w:rPr>
        <w:rFonts w:ascii="Times New Roman" w:hAnsi="Times New Roman" w:hint="default"/>
        <w:b w:val="0"/>
        <w:i w:val="0"/>
        <w:sz w:val="23"/>
      </w:rPr>
    </w:lvl>
    <w:lvl w:ilvl="4">
      <w:start w:val="1"/>
      <w:numFmt w:val="decimal"/>
      <w:lvlText w:val="(%5)"/>
      <w:lvlJc w:val="left"/>
      <w:pPr>
        <w:tabs>
          <w:tab w:val="num" w:pos="1800"/>
        </w:tabs>
        <w:ind w:left="1800" w:hanging="360"/>
      </w:pPr>
      <w:rPr>
        <w:rFonts w:ascii="Times New Roman" w:hAnsi="Times New Roman" w:hint="default"/>
        <w:b w:val="0"/>
        <w:i w:val="0"/>
        <w:sz w:val="23"/>
      </w:rPr>
    </w:lvl>
    <w:lvl w:ilvl="5">
      <w:start w:val="1"/>
      <w:numFmt w:val="lowerRoman"/>
      <w:lvlText w:val="%6"/>
      <w:lvlJc w:val="left"/>
      <w:pPr>
        <w:tabs>
          <w:tab w:val="num" w:pos="1440"/>
        </w:tabs>
        <w:ind w:left="720" w:firstLine="0"/>
      </w:pPr>
      <w:rPr>
        <w:rFonts w:hint="default"/>
      </w:rPr>
    </w:lvl>
    <w:lvl w:ilvl="6">
      <w:start w:val="1"/>
      <w:numFmt w:val="decimal"/>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numFmt w:val="decimal"/>
      <w:lvlText w:val=""/>
      <w:lvlJc w:val="left"/>
      <w:pPr>
        <w:tabs>
          <w:tab w:val="num" w:pos="720"/>
        </w:tabs>
        <w:ind w:left="720" w:firstLine="0"/>
      </w:pPr>
      <w:rPr>
        <w:rFonts w:hint="default"/>
      </w:rPr>
    </w:lvl>
  </w:abstractNum>
  <w:abstractNum w:abstractNumId="23">
    <w:nsid w:val="40523FF8"/>
    <w:multiLevelType w:val="hybridMultilevel"/>
    <w:tmpl w:val="2B40ACDE"/>
    <w:lvl w:ilvl="0" w:tplc="57E8E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14BB5"/>
    <w:multiLevelType w:val="hybridMultilevel"/>
    <w:tmpl w:val="A46C3DEC"/>
    <w:lvl w:ilvl="0" w:tplc="A1640A7C">
      <w:start w:val="6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56F46"/>
    <w:multiLevelType w:val="hybridMultilevel"/>
    <w:tmpl w:val="CF56C68C"/>
    <w:lvl w:ilvl="0" w:tplc="AD2CEFD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nsid w:val="440C505C"/>
    <w:multiLevelType w:val="hybridMultilevel"/>
    <w:tmpl w:val="7D0EEE3C"/>
    <w:lvl w:ilvl="0" w:tplc="031CB8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7001B5C"/>
    <w:multiLevelType w:val="multilevel"/>
    <w:tmpl w:val="7B1AF100"/>
    <w:lvl w:ilvl="0">
      <w:start w:val="1"/>
      <w:numFmt w:val="decimal"/>
      <w:lvlText w:val="%1."/>
      <w:lvlJc w:val="left"/>
      <w:pPr>
        <w:ind w:left="360" w:hanging="360"/>
      </w:pPr>
      <w:rPr>
        <w:rFonts w:ascii="Times New Roman" w:hAnsi="Times New Roman" w:hint="default"/>
        <w:b w:val="0"/>
        <w:i w:val="0"/>
        <w:sz w:val="23"/>
      </w:rPr>
    </w:lvl>
    <w:lvl w:ilvl="1">
      <w:start w:val="1"/>
      <w:numFmt w:val="bullet"/>
      <w:lvlText w:val=""/>
      <w:lvlJc w:val="left"/>
      <w:pPr>
        <w:ind w:left="720" w:hanging="360"/>
      </w:pPr>
      <w:rPr>
        <w:rFonts w:ascii="Symbol" w:hAnsi="Symbol" w:hint="default"/>
        <w:b w:val="0"/>
        <w:i w:val="0"/>
        <w:sz w:val="23"/>
      </w:rPr>
    </w:lvl>
    <w:lvl w:ilvl="2">
      <w:start w:val="1"/>
      <w:numFmt w:val="lowerRoman"/>
      <w:lvlText w:val="(%3)"/>
      <w:lvlJc w:val="left"/>
      <w:pPr>
        <w:ind w:left="1080" w:hanging="360"/>
      </w:pPr>
      <w:rPr>
        <w:rFonts w:ascii="Times New Roman" w:hAnsi="Times New Roman" w:hint="default"/>
        <w:b w:val="0"/>
        <w:i w:val="0"/>
        <w:sz w:val="23"/>
      </w:rPr>
    </w:lvl>
    <w:lvl w:ilvl="3">
      <w:start w:val="1"/>
      <w:numFmt w:val="upperLetter"/>
      <w:lvlText w:val="%4."/>
      <w:lvlJc w:val="left"/>
      <w:pPr>
        <w:ind w:left="1440" w:hanging="360"/>
      </w:pPr>
      <w:rPr>
        <w:rFonts w:ascii="Times New Roman" w:hAnsi="Times New Roman" w:hint="default"/>
        <w:b w:val="0"/>
        <w:i w:val="0"/>
        <w:sz w:val="23"/>
      </w:rPr>
    </w:lvl>
    <w:lvl w:ilvl="4">
      <w:start w:val="1"/>
      <w:numFmt w:val="decimal"/>
      <w:lvlText w:val="(%5)"/>
      <w:lvlJc w:val="left"/>
      <w:pPr>
        <w:ind w:left="1800" w:hanging="360"/>
      </w:pPr>
      <w:rPr>
        <w:rFonts w:ascii="Terminator Two" w:hAnsi="Terminator Two" w:hint="default"/>
        <w:b w:val="0"/>
        <w:i w:val="0"/>
        <w:sz w:val="2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D79B0"/>
    <w:multiLevelType w:val="hybridMultilevel"/>
    <w:tmpl w:val="B5FAE904"/>
    <w:lvl w:ilvl="0" w:tplc="FE4435F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nsid w:val="496979E3"/>
    <w:multiLevelType w:val="hybridMultilevel"/>
    <w:tmpl w:val="BE7C1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A3196A"/>
    <w:multiLevelType w:val="hybridMultilevel"/>
    <w:tmpl w:val="70C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10318"/>
    <w:multiLevelType w:val="hybridMultilevel"/>
    <w:tmpl w:val="B150D438"/>
    <w:lvl w:ilvl="0" w:tplc="F11C4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754DD8"/>
    <w:multiLevelType w:val="hybridMultilevel"/>
    <w:tmpl w:val="42EE34E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4267A9F"/>
    <w:multiLevelType w:val="multilevel"/>
    <w:tmpl w:val="3D38FB06"/>
    <w:lvl w:ilvl="0">
      <w:start w:val="1"/>
      <w:numFmt w:val="decimal"/>
      <w:pStyle w:val="Level1"/>
      <w:lvlText w:val="%1."/>
      <w:lvlJc w:val="left"/>
      <w:pPr>
        <w:tabs>
          <w:tab w:val="num" w:pos="450"/>
        </w:tabs>
        <w:ind w:left="450" w:hanging="450"/>
      </w:pPr>
      <w:rPr>
        <w:rFonts w:ascii="CG Times" w:hAnsi="CG Times" w:hint="default"/>
        <w:sz w:val="23"/>
      </w:rPr>
    </w:lvl>
    <w:lvl w:ilvl="1">
      <w:start w:val="1"/>
      <w:numFmt w:val="decimal"/>
      <w:pStyle w:val="Level1"/>
      <w:isLgl/>
      <w:lvlText w:val="%1.%2"/>
      <w:lvlJc w:val="left"/>
      <w:pPr>
        <w:tabs>
          <w:tab w:val="num" w:pos="900"/>
        </w:tabs>
        <w:ind w:left="900" w:hanging="450"/>
      </w:pPr>
      <w:rPr>
        <w:rFonts w:hint="default"/>
      </w:rPr>
    </w:lvl>
    <w:lvl w:ilvl="2">
      <w:start w:val="1"/>
      <w:numFmt w:val="lowerLetter"/>
      <w:pStyle w:val="Level3"/>
      <w:lvlText w:val="(%3)"/>
      <w:lvlJc w:val="left"/>
      <w:pPr>
        <w:tabs>
          <w:tab w:val="num" w:pos="1440"/>
        </w:tabs>
        <w:ind w:left="1440" w:hanging="54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57F35878"/>
    <w:multiLevelType w:val="hybridMultilevel"/>
    <w:tmpl w:val="6E3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A505C"/>
    <w:multiLevelType w:val="hybridMultilevel"/>
    <w:tmpl w:val="0E8EC684"/>
    <w:lvl w:ilvl="0" w:tplc="37788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DE76F7"/>
    <w:multiLevelType w:val="multilevel"/>
    <w:tmpl w:val="54CC74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E79056E"/>
    <w:multiLevelType w:val="hybridMultilevel"/>
    <w:tmpl w:val="0832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F375B"/>
    <w:multiLevelType w:val="multilevel"/>
    <w:tmpl w:val="2D7C54A4"/>
    <w:lvl w:ilvl="0">
      <w:start w:val="1"/>
      <w:numFmt w:val="decimal"/>
      <w:lvlText w:val="%1."/>
      <w:lvlJc w:val="left"/>
      <w:pPr>
        <w:ind w:left="360" w:hanging="360"/>
      </w:pPr>
      <w:rPr>
        <w:rFonts w:ascii="Times New Roman" w:hAnsi="Times New Roman" w:hint="default"/>
        <w:b w:val="0"/>
        <w:i w:val="0"/>
        <w:sz w:val="23"/>
      </w:rPr>
    </w:lvl>
    <w:lvl w:ilvl="1">
      <w:start w:val="1"/>
      <w:numFmt w:val="lowerLetter"/>
      <w:lvlText w:val="(%2)"/>
      <w:lvlJc w:val="left"/>
      <w:pPr>
        <w:ind w:left="720" w:hanging="360"/>
      </w:pPr>
      <w:rPr>
        <w:rFonts w:ascii="Times New Roman" w:hAnsi="Times New Roman" w:hint="default"/>
        <w:b w:val="0"/>
        <w:i w:val="0"/>
        <w:sz w:val="23"/>
      </w:rPr>
    </w:lvl>
    <w:lvl w:ilvl="2">
      <w:start w:val="1"/>
      <w:numFmt w:val="lowerRoman"/>
      <w:lvlText w:val="(%3)"/>
      <w:lvlJc w:val="left"/>
      <w:pPr>
        <w:ind w:left="1080" w:hanging="360"/>
      </w:pPr>
      <w:rPr>
        <w:rFonts w:ascii="Times New Roman" w:hAnsi="Times New Roman" w:hint="default"/>
        <w:b w:val="0"/>
        <w:i w:val="0"/>
        <w:sz w:val="23"/>
      </w:rPr>
    </w:lvl>
    <w:lvl w:ilvl="3">
      <w:start w:val="1"/>
      <w:numFmt w:val="upperLetter"/>
      <w:lvlText w:val="%4."/>
      <w:lvlJc w:val="left"/>
      <w:pPr>
        <w:ind w:left="1440" w:hanging="360"/>
      </w:pPr>
      <w:rPr>
        <w:rFonts w:ascii="Times New Roman" w:hAnsi="Times New Roman" w:hint="default"/>
        <w:b w:val="0"/>
        <w:i w:val="0"/>
        <w:sz w:val="23"/>
      </w:rPr>
    </w:lvl>
    <w:lvl w:ilvl="4">
      <w:start w:val="1"/>
      <w:numFmt w:val="decimal"/>
      <w:lvlText w:val="(%5)"/>
      <w:lvlJc w:val="left"/>
      <w:pPr>
        <w:ind w:left="1800" w:hanging="360"/>
      </w:pPr>
      <w:rPr>
        <w:rFonts w:ascii="Terminator Two" w:hAnsi="Terminator Two" w:hint="default"/>
        <w:b w:val="0"/>
        <w:i w:val="0"/>
        <w:sz w:val="23"/>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8C350CA"/>
    <w:multiLevelType w:val="hybridMultilevel"/>
    <w:tmpl w:val="E4505AD2"/>
    <w:lvl w:ilvl="0" w:tplc="04090001">
      <w:start w:val="1"/>
      <w:numFmt w:val="bullet"/>
      <w:lvlText w:val=""/>
      <w:lvlJc w:val="left"/>
      <w:pPr>
        <w:ind w:left="1012" w:hanging="360"/>
      </w:pPr>
      <w:rPr>
        <w:rFonts w:ascii="Symbol" w:hAnsi="Symbol"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40">
    <w:nsid w:val="6F7D5095"/>
    <w:multiLevelType w:val="hybridMultilevel"/>
    <w:tmpl w:val="6CC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04C17"/>
    <w:multiLevelType w:val="hybridMultilevel"/>
    <w:tmpl w:val="4FA6F626"/>
    <w:lvl w:ilvl="0" w:tplc="B80C3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30C5C"/>
    <w:multiLevelType w:val="hybridMultilevel"/>
    <w:tmpl w:val="880A7530"/>
    <w:lvl w:ilvl="0" w:tplc="BC582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A071E4"/>
    <w:multiLevelType w:val="hybridMultilevel"/>
    <w:tmpl w:val="149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32BD1"/>
    <w:multiLevelType w:val="hybridMultilevel"/>
    <w:tmpl w:val="426E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BA369D"/>
    <w:multiLevelType w:val="hybridMultilevel"/>
    <w:tmpl w:val="E596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E35A9"/>
    <w:multiLevelType w:val="hybridMultilevel"/>
    <w:tmpl w:val="8C6E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2"/>
  </w:num>
  <w:num w:numId="3">
    <w:abstractNumId w:val="19"/>
  </w:num>
  <w:num w:numId="4">
    <w:abstractNumId w:val="10"/>
  </w:num>
  <w:num w:numId="5">
    <w:abstractNumId w:val="43"/>
  </w:num>
  <w:num w:numId="6">
    <w:abstractNumId w:val="17"/>
  </w:num>
  <w:num w:numId="7">
    <w:abstractNumId w:val="44"/>
  </w:num>
  <w:num w:numId="8">
    <w:abstractNumId w:val="29"/>
  </w:num>
  <w:num w:numId="9">
    <w:abstractNumId w:val="46"/>
  </w:num>
  <w:num w:numId="10">
    <w:abstractNumId w:val="18"/>
  </w:num>
  <w:num w:numId="11">
    <w:abstractNumId w:val="12"/>
  </w:num>
  <w:num w:numId="12">
    <w:abstractNumId w:val="7"/>
  </w:num>
  <w:num w:numId="13">
    <w:abstractNumId w:val="6"/>
  </w:num>
  <w:num w:numId="14">
    <w:abstractNumId w:val="45"/>
  </w:num>
  <w:num w:numId="15">
    <w:abstractNumId w:val="0"/>
  </w:num>
  <w:num w:numId="16">
    <w:abstractNumId w:val="2"/>
  </w:num>
  <w:num w:numId="17">
    <w:abstractNumId w:val="30"/>
  </w:num>
  <w:num w:numId="18">
    <w:abstractNumId w:val="9"/>
  </w:num>
  <w:num w:numId="19">
    <w:abstractNumId w:val="14"/>
  </w:num>
  <w:num w:numId="20">
    <w:abstractNumId w:val="1"/>
  </w:num>
  <w:num w:numId="21">
    <w:abstractNumId w:val="39"/>
  </w:num>
  <w:num w:numId="22">
    <w:abstractNumId w:val="11"/>
  </w:num>
  <w:num w:numId="23">
    <w:abstractNumId w:val="21"/>
  </w:num>
  <w:num w:numId="24">
    <w:abstractNumId w:val="23"/>
  </w:num>
  <w:num w:numId="25">
    <w:abstractNumId w:val="13"/>
  </w:num>
  <w:num w:numId="26">
    <w:abstractNumId w:val="34"/>
  </w:num>
  <w:num w:numId="27">
    <w:abstractNumId w:val="15"/>
  </w:num>
  <w:num w:numId="28">
    <w:abstractNumId w:val="3"/>
  </w:num>
  <w:num w:numId="29">
    <w:abstractNumId w:val="40"/>
  </w:num>
  <w:num w:numId="30">
    <w:abstractNumId w:val="4"/>
  </w:num>
  <w:num w:numId="31">
    <w:abstractNumId w:val="41"/>
  </w:num>
  <w:num w:numId="32">
    <w:abstractNumId w:val="32"/>
  </w:num>
  <w:num w:numId="33">
    <w:abstractNumId w:val="26"/>
  </w:num>
  <w:num w:numId="34">
    <w:abstractNumId w:val="42"/>
  </w:num>
  <w:num w:numId="35">
    <w:abstractNumId w:val="16"/>
  </w:num>
  <w:num w:numId="36">
    <w:abstractNumId w:val="36"/>
  </w:num>
  <w:num w:numId="37">
    <w:abstractNumId w:val="37"/>
  </w:num>
  <w:num w:numId="38">
    <w:abstractNumId w:val="31"/>
  </w:num>
  <w:num w:numId="39">
    <w:abstractNumId w:val="38"/>
  </w:num>
  <w:num w:numId="40">
    <w:abstractNumId w:val="27"/>
  </w:num>
  <w:num w:numId="41">
    <w:abstractNumId w:val="5"/>
  </w:num>
  <w:num w:numId="42">
    <w:abstractNumId w:val="8"/>
  </w:num>
  <w:num w:numId="43">
    <w:abstractNumId w:val="35"/>
  </w:num>
  <w:num w:numId="44">
    <w:abstractNumId w:val="28"/>
  </w:num>
  <w:num w:numId="45">
    <w:abstractNumId w:val="25"/>
  </w:num>
  <w:num w:numId="46">
    <w:abstractNumId w:val="20"/>
  </w:num>
  <w:num w:numId="4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D"/>
    <w:rsid w:val="00000BEC"/>
    <w:rsid w:val="00001C49"/>
    <w:rsid w:val="00001F17"/>
    <w:rsid w:val="00002553"/>
    <w:rsid w:val="00002E56"/>
    <w:rsid w:val="0000359E"/>
    <w:rsid w:val="000037EE"/>
    <w:rsid w:val="00003CC9"/>
    <w:rsid w:val="00003D9A"/>
    <w:rsid w:val="00003E5A"/>
    <w:rsid w:val="000048DA"/>
    <w:rsid w:val="00004EAE"/>
    <w:rsid w:val="00005797"/>
    <w:rsid w:val="000057BB"/>
    <w:rsid w:val="000058D6"/>
    <w:rsid w:val="00005B8F"/>
    <w:rsid w:val="00005DCA"/>
    <w:rsid w:val="0000640F"/>
    <w:rsid w:val="000069EC"/>
    <w:rsid w:val="000075DA"/>
    <w:rsid w:val="00007BFE"/>
    <w:rsid w:val="00007C41"/>
    <w:rsid w:val="00010B2C"/>
    <w:rsid w:val="00011E61"/>
    <w:rsid w:val="000120FB"/>
    <w:rsid w:val="000123DF"/>
    <w:rsid w:val="00012A36"/>
    <w:rsid w:val="00012CC1"/>
    <w:rsid w:val="00013626"/>
    <w:rsid w:val="00013C8D"/>
    <w:rsid w:val="00013CB8"/>
    <w:rsid w:val="000144C1"/>
    <w:rsid w:val="000144FF"/>
    <w:rsid w:val="00014C2E"/>
    <w:rsid w:val="00015778"/>
    <w:rsid w:val="000157C3"/>
    <w:rsid w:val="00015A36"/>
    <w:rsid w:val="00016765"/>
    <w:rsid w:val="00016823"/>
    <w:rsid w:val="00016BC4"/>
    <w:rsid w:val="00016C4C"/>
    <w:rsid w:val="00016F12"/>
    <w:rsid w:val="000171FC"/>
    <w:rsid w:val="000176D4"/>
    <w:rsid w:val="00017CDF"/>
    <w:rsid w:val="0002031D"/>
    <w:rsid w:val="000203DD"/>
    <w:rsid w:val="00020407"/>
    <w:rsid w:val="000208D4"/>
    <w:rsid w:val="00021377"/>
    <w:rsid w:val="0002165C"/>
    <w:rsid w:val="000217D0"/>
    <w:rsid w:val="00021FC3"/>
    <w:rsid w:val="000224B4"/>
    <w:rsid w:val="00022995"/>
    <w:rsid w:val="00022BC0"/>
    <w:rsid w:val="00023DCF"/>
    <w:rsid w:val="000243A1"/>
    <w:rsid w:val="000248BD"/>
    <w:rsid w:val="00024CA0"/>
    <w:rsid w:val="00024DCB"/>
    <w:rsid w:val="000250C8"/>
    <w:rsid w:val="000253B6"/>
    <w:rsid w:val="00025D23"/>
    <w:rsid w:val="00026130"/>
    <w:rsid w:val="000264B3"/>
    <w:rsid w:val="0002659D"/>
    <w:rsid w:val="00026E73"/>
    <w:rsid w:val="0002782B"/>
    <w:rsid w:val="00027919"/>
    <w:rsid w:val="00027FD8"/>
    <w:rsid w:val="000312EA"/>
    <w:rsid w:val="000314EB"/>
    <w:rsid w:val="000315A5"/>
    <w:rsid w:val="000315F3"/>
    <w:rsid w:val="0003173E"/>
    <w:rsid w:val="000319E2"/>
    <w:rsid w:val="000322D6"/>
    <w:rsid w:val="000325C7"/>
    <w:rsid w:val="00032C7C"/>
    <w:rsid w:val="00032CE9"/>
    <w:rsid w:val="00032F0A"/>
    <w:rsid w:val="000334BB"/>
    <w:rsid w:val="0003361F"/>
    <w:rsid w:val="00033774"/>
    <w:rsid w:val="00033B36"/>
    <w:rsid w:val="00033B8F"/>
    <w:rsid w:val="00033D6D"/>
    <w:rsid w:val="00033F9B"/>
    <w:rsid w:val="000348AE"/>
    <w:rsid w:val="000349F4"/>
    <w:rsid w:val="00034E49"/>
    <w:rsid w:val="00035032"/>
    <w:rsid w:val="0003539A"/>
    <w:rsid w:val="000356CD"/>
    <w:rsid w:val="0003684B"/>
    <w:rsid w:val="00036B90"/>
    <w:rsid w:val="00036E4F"/>
    <w:rsid w:val="00037031"/>
    <w:rsid w:val="000370F0"/>
    <w:rsid w:val="000371C4"/>
    <w:rsid w:val="00037218"/>
    <w:rsid w:val="000374F3"/>
    <w:rsid w:val="000402BC"/>
    <w:rsid w:val="00040351"/>
    <w:rsid w:val="00040966"/>
    <w:rsid w:val="00040B7F"/>
    <w:rsid w:val="00040EDB"/>
    <w:rsid w:val="00041AF0"/>
    <w:rsid w:val="00041F37"/>
    <w:rsid w:val="000424BC"/>
    <w:rsid w:val="00042670"/>
    <w:rsid w:val="00043AAA"/>
    <w:rsid w:val="00043B8D"/>
    <w:rsid w:val="00043C21"/>
    <w:rsid w:val="00044D50"/>
    <w:rsid w:val="00045DFA"/>
    <w:rsid w:val="00046117"/>
    <w:rsid w:val="00046269"/>
    <w:rsid w:val="00046489"/>
    <w:rsid w:val="00046B2E"/>
    <w:rsid w:val="000476EE"/>
    <w:rsid w:val="00047B5D"/>
    <w:rsid w:val="00047D33"/>
    <w:rsid w:val="0005023F"/>
    <w:rsid w:val="000503DB"/>
    <w:rsid w:val="00050D16"/>
    <w:rsid w:val="000510AB"/>
    <w:rsid w:val="0005122F"/>
    <w:rsid w:val="00051335"/>
    <w:rsid w:val="0005173F"/>
    <w:rsid w:val="00051CD0"/>
    <w:rsid w:val="00052293"/>
    <w:rsid w:val="000524F3"/>
    <w:rsid w:val="00052779"/>
    <w:rsid w:val="00052B45"/>
    <w:rsid w:val="00052B73"/>
    <w:rsid w:val="00053292"/>
    <w:rsid w:val="00053418"/>
    <w:rsid w:val="0005371B"/>
    <w:rsid w:val="00053E0E"/>
    <w:rsid w:val="0005487C"/>
    <w:rsid w:val="000549E9"/>
    <w:rsid w:val="000551ED"/>
    <w:rsid w:val="0005583E"/>
    <w:rsid w:val="00055E62"/>
    <w:rsid w:val="0005630A"/>
    <w:rsid w:val="00057522"/>
    <w:rsid w:val="00057A25"/>
    <w:rsid w:val="00060312"/>
    <w:rsid w:val="00060431"/>
    <w:rsid w:val="00060825"/>
    <w:rsid w:val="00060B53"/>
    <w:rsid w:val="00060FC3"/>
    <w:rsid w:val="000626EC"/>
    <w:rsid w:val="00062FCF"/>
    <w:rsid w:val="00063BC4"/>
    <w:rsid w:val="00063EE6"/>
    <w:rsid w:val="00064343"/>
    <w:rsid w:val="000649B3"/>
    <w:rsid w:val="000659B7"/>
    <w:rsid w:val="000659E0"/>
    <w:rsid w:val="00065AA4"/>
    <w:rsid w:val="00065ACE"/>
    <w:rsid w:val="000663BB"/>
    <w:rsid w:val="00067048"/>
    <w:rsid w:val="00067111"/>
    <w:rsid w:val="00067377"/>
    <w:rsid w:val="00067FA2"/>
    <w:rsid w:val="00070239"/>
    <w:rsid w:val="000703F6"/>
    <w:rsid w:val="00070DD3"/>
    <w:rsid w:val="000711DC"/>
    <w:rsid w:val="00071350"/>
    <w:rsid w:val="000719AC"/>
    <w:rsid w:val="00071F6C"/>
    <w:rsid w:val="000720C9"/>
    <w:rsid w:val="00072768"/>
    <w:rsid w:val="000731B8"/>
    <w:rsid w:val="00073521"/>
    <w:rsid w:val="00073AAE"/>
    <w:rsid w:val="00073B91"/>
    <w:rsid w:val="00073DB3"/>
    <w:rsid w:val="00073F9C"/>
    <w:rsid w:val="00074284"/>
    <w:rsid w:val="0007483A"/>
    <w:rsid w:val="000748E4"/>
    <w:rsid w:val="0007491C"/>
    <w:rsid w:val="00074B94"/>
    <w:rsid w:val="00075AC7"/>
    <w:rsid w:val="00075C74"/>
    <w:rsid w:val="00075D7D"/>
    <w:rsid w:val="00075E99"/>
    <w:rsid w:val="00075F08"/>
    <w:rsid w:val="000762E7"/>
    <w:rsid w:val="000763E4"/>
    <w:rsid w:val="00076541"/>
    <w:rsid w:val="000765E8"/>
    <w:rsid w:val="00076802"/>
    <w:rsid w:val="00077594"/>
    <w:rsid w:val="00077A52"/>
    <w:rsid w:val="00077D28"/>
    <w:rsid w:val="00080881"/>
    <w:rsid w:val="00080D8E"/>
    <w:rsid w:val="00080E97"/>
    <w:rsid w:val="00080FD8"/>
    <w:rsid w:val="0008123F"/>
    <w:rsid w:val="00081371"/>
    <w:rsid w:val="000819DF"/>
    <w:rsid w:val="00081A1C"/>
    <w:rsid w:val="00081D20"/>
    <w:rsid w:val="00081DD3"/>
    <w:rsid w:val="0008237B"/>
    <w:rsid w:val="000827B1"/>
    <w:rsid w:val="00082830"/>
    <w:rsid w:val="00082B03"/>
    <w:rsid w:val="000835A0"/>
    <w:rsid w:val="00083BB7"/>
    <w:rsid w:val="000841E8"/>
    <w:rsid w:val="0008484D"/>
    <w:rsid w:val="00084D79"/>
    <w:rsid w:val="000851FF"/>
    <w:rsid w:val="0008556E"/>
    <w:rsid w:val="00085829"/>
    <w:rsid w:val="000859CC"/>
    <w:rsid w:val="00085C7C"/>
    <w:rsid w:val="00085C8B"/>
    <w:rsid w:val="00085FA9"/>
    <w:rsid w:val="00086510"/>
    <w:rsid w:val="000868E4"/>
    <w:rsid w:val="0008724F"/>
    <w:rsid w:val="00087C88"/>
    <w:rsid w:val="00090982"/>
    <w:rsid w:val="00091698"/>
    <w:rsid w:val="00091B9F"/>
    <w:rsid w:val="00092310"/>
    <w:rsid w:val="00092602"/>
    <w:rsid w:val="00093134"/>
    <w:rsid w:val="00093612"/>
    <w:rsid w:val="0009374F"/>
    <w:rsid w:val="000937D3"/>
    <w:rsid w:val="00093D48"/>
    <w:rsid w:val="00094168"/>
    <w:rsid w:val="00094414"/>
    <w:rsid w:val="00094EEE"/>
    <w:rsid w:val="0009504F"/>
    <w:rsid w:val="00095431"/>
    <w:rsid w:val="0009565B"/>
    <w:rsid w:val="00095884"/>
    <w:rsid w:val="000958D8"/>
    <w:rsid w:val="0009592B"/>
    <w:rsid w:val="00096094"/>
    <w:rsid w:val="000960BC"/>
    <w:rsid w:val="00096202"/>
    <w:rsid w:val="00096273"/>
    <w:rsid w:val="000964C0"/>
    <w:rsid w:val="000967BC"/>
    <w:rsid w:val="00096A66"/>
    <w:rsid w:val="000972BE"/>
    <w:rsid w:val="0009762C"/>
    <w:rsid w:val="0009794E"/>
    <w:rsid w:val="00097AE8"/>
    <w:rsid w:val="000A084C"/>
    <w:rsid w:val="000A0B16"/>
    <w:rsid w:val="000A10BE"/>
    <w:rsid w:val="000A11D5"/>
    <w:rsid w:val="000A13BF"/>
    <w:rsid w:val="000A1709"/>
    <w:rsid w:val="000A1A5C"/>
    <w:rsid w:val="000A204C"/>
    <w:rsid w:val="000A2929"/>
    <w:rsid w:val="000A2E3F"/>
    <w:rsid w:val="000A31C8"/>
    <w:rsid w:val="000A346F"/>
    <w:rsid w:val="000A38A2"/>
    <w:rsid w:val="000A4253"/>
    <w:rsid w:val="000A44A7"/>
    <w:rsid w:val="000A4D49"/>
    <w:rsid w:val="000A5097"/>
    <w:rsid w:val="000A564F"/>
    <w:rsid w:val="000A5689"/>
    <w:rsid w:val="000A5874"/>
    <w:rsid w:val="000A5F12"/>
    <w:rsid w:val="000A5FB4"/>
    <w:rsid w:val="000A72E0"/>
    <w:rsid w:val="000A77FA"/>
    <w:rsid w:val="000A794D"/>
    <w:rsid w:val="000A7A1A"/>
    <w:rsid w:val="000B01BD"/>
    <w:rsid w:val="000B08ED"/>
    <w:rsid w:val="000B0F18"/>
    <w:rsid w:val="000B1CAF"/>
    <w:rsid w:val="000B1DD5"/>
    <w:rsid w:val="000B20AE"/>
    <w:rsid w:val="000B2B57"/>
    <w:rsid w:val="000B4525"/>
    <w:rsid w:val="000B4568"/>
    <w:rsid w:val="000B46AD"/>
    <w:rsid w:val="000B4998"/>
    <w:rsid w:val="000B535F"/>
    <w:rsid w:val="000B570E"/>
    <w:rsid w:val="000B66FC"/>
    <w:rsid w:val="000B68A4"/>
    <w:rsid w:val="000B74E8"/>
    <w:rsid w:val="000B7D73"/>
    <w:rsid w:val="000B7E66"/>
    <w:rsid w:val="000C031A"/>
    <w:rsid w:val="000C05F2"/>
    <w:rsid w:val="000C0DDA"/>
    <w:rsid w:val="000C11F0"/>
    <w:rsid w:val="000C1982"/>
    <w:rsid w:val="000C1A39"/>
    <w:rsid w:val="000C1B8E"/>
    <w:rsid w:val="000C28B0"/>
    <w:rsid w:val="000C315A"/>
    <w:rsid w:val="000C3441"/>
    <w:rsid w:val="000C348E"/>
    <w:rsid w:val="000C3A5B"/>
    <w:rsid w:val="000C3C54"/>
    <w:rsid w:val="000C4A55"/>
    <w:rsid w:val="000C4A78"/>
    <w:rsid w:val="000C4BE3"/>
    <w:rsid w:val="000C554F"/>
    <w:rsid w:val="000C578D"/>
    <w:rsid w:val="000C5D24"/>
    <w:rsid w:val="000C5DD7"/>
    <w:rsid w:val="000C65EB"/>
    <w:rsid w:val="000C6779"/>
    <w:rsid w:val="000C75F0"/>
    <w:rsid w:val="000D01F2"/>
    <w:rsid w:val="000D0AFE"/>
    <w:rsid w:val="000D1FA3"/>
    <w:rsid w:val="000D29DF"/>
    <w:rsid w:val="000D2F34"/>
    <w:rsid w:val="000D3670"/>
    <w:rsid w:val="000D3D9F"/>
    <w:rsid w:val="000D3F92"/>
    <w:rsid w:val="000D4129"/>
    <w:rsid w:val="000D453B"/>
    <w:rsid w:val="000D46BE"/>
    <w:rsid w:val="000D4AA5"/>
    <w:rsid w:val="000D4BB3"/>
    <w:rsid w:val="000D526E"/>
    <w:rsid w:val="000D52C6"/>
    <w:rsid w:val="000D554C"/>
    <w:rsid w:val="000D5871"/>
    <w:rsid w:val="000D5A34"/>
    <w:rsid w:val="000D68F2"/>
    <w:rsid w:val="000D6F47"/>
    <w:rsid w:val="000D702E"/>
    <w:rsid w:val="000D73E8"/>
    <w:rsid w:val="000E032A"/>
    <w:rsid w:val="000E045A"/>
    <w:rsid w:val="000E06ED"/>
    <w:rsid w:val="000E0FC1"/>
    <w:rsid w:val="000E1146"/>
    <w:rsid w:val="000E127C"/>
    <w:rsid w:val="000E2B24"/>
    <w:rsid w:val="000E32A5"/>
    <w:rsid w:val="000E34FB"/>
    <w:rsid w:val="000E386E"/>
    <w:rsid w:val="000E4027"/>
    <w:rsid w:val="000E4961"/>
    <w:rsid w:val="000E4F18"/>
    <w:rsid w:val="000E50DF"/>
    <w:rsid w:val="000E555B"/>
    <w:rsid w:val="000E559D"/>
    <w:rsid w:val="000E649D"/>
    <w:rsid w:val="000E6CC3"/>
    <w:rsid w:val="000E6E2C"/>
    <w:rsid w:val="000E78BA"/>
    <w:rsid w:val="000F01C6"/>
    <w:rsid w:val="000F078C"/>
    <w:rsid w:val="000F112D"/>
    <w:rsid w:val="000F1217"/>
    <w:rsid w:val="000F13C1"/>
    <w:rsid w:val="000F194B"/>
    <w:rsid w:val="000F1D2F"/>
    <w:rsid w:val="000F25A3"/>
    <w:rsid w:val="000F2611"/>
    <w:rsid w:val="000F2AF2"/>
    <w:rsid w:val="000F2B9C"/>
    <w:rsid w:val="000F304A"/>
    <w:rsid w:val="000F3131"/>
    <w:rsid w:val="000F3C2F"/>
    <w:rsid w:val="000F3ECB"/>
    <w:rsid w:val="000F4291"/>
    <w:rsid w:val="000F4595"/>
    <w:rsid w:val="000F47A7"/>
    <w:rsid w:val="000F4BD5"/>
    <w:rsid w:val="000F547D"/>
    <w:rsid w:val="000F5764"/>
    <w:rsid w:val="000F620C"/>
    <w:rsid w:val="000F6412"/>
    <w:rsid w:val="000F6C63"/>
    <w:rsid w:val="000F70A3"/>
    <w:rsid w:val="000F79CE"/>
    <w:rsid w:val="000F7DC3"/>
    <w:rsid w:val="001004BF"/>
    <w:rsid w:val="00100529"/>
    <w:rsid w:val="00100D10"/>
    <w:rsid w:val="00101B2A"/>
    <w:rsid w:val="00101BC2"/>
    <w:rsid w:val="0010251F"/>
    <w:rsid w:val="00102BA2"/>
    <w:rsid w:val="00103017"/>
    <w:rsid w:val="001032AF"/>
    <w:rsid w:val="001033DE"/>
    <w:rsid w:val="0010361B"/>
    <w:rsid w:val="00103BF0"/>
    <w:rsid w:val="001042ED"/>
    <w:rsid w:val="00104F28"/>
    <w:rsid w:val="001055BE"/>
    <w:rsid w:val="00105D80"/>
    <w:rsid w:val="00105F91"/>
    <w:rsid w:val="001069B3"/>
    <w:rsid w:val="00106A89"/>
    <w:rsid w:val="00106E6B"/>
    <w:rsid w:val="00107251"/>
    <w:rsid w:val="0010725C"/>
    <w:rsid w:val="00110260"/>
    <w:rsid w:val="001107B9"/>
    <w:rsid w:val="0011091D"/>
    <w:rsid w:val="00110AB9"/>
    <w:rsid w:val="001112F9"/>
    <w:rsid w:val="0011205E"/>
    <w:rsid w:val="001121F4"/>
    <w:rsid w:val="001124AE"/>
    <w:rsid w:val="001129E3"/>
    <w:rsid w:val="00112A1A"/>
    <w:rsid w:val="00113235"/>
    <w:rsid w:val="001133AA"/>
    <w:rsid w:val="00113AD3"/>
    <w:rsid w:val="0011469F"/>
    <w:rsid w:val="00114848"/>
    <w:rsid w:val="00114A65"/>
    <w:rsid w:val="001150AA"/>
    <w:rsid w:val="0011593C"/>
    <w:rsid w:val="001159D0"/>
    <w:rsid w:val="00115A17"/>
    <w:rsid w:val="00115C04"/>
    <w:rsid w:val="00115EC7"/>
    <w:rsid w:val="00117A77"/>
    <w:rsid w:val="00117D8B"/>
    <w:rsid w:val="001215A5"/>
    <w:rsid w:val="00121666"/>
    <w:rsid w:val="001216B3"/>
    <w:rsid w:val="00123167"/>
    <w:rsid w:val="00123370"/>
    <w:rsid w:val="00123FD2"/>
    <w:rsid w:val="00124787"/>
    <w:rsid w:val="0012481C"/>
    <w:rsid w:val="001248AF"/>
    <w:rsid w:val="00124DA3"/>
    <w:rsid w:val="00124F1D"/>
    <w:rsid w:val="00124FB0"/>
    <w:rsid w:val="001254BC"/>
    <w:rsid w:val="0012562D"/>
    <w:rsid w:val="0012632E"/>
    <w:rsid w:val="0012693C"/>
    <w:rsid w:val="001269A4"/>
    <w:rsid w:val="00126B81"/>
    <w:rsid w:val="00126B8E"/>
    <w:rsid w:val="00127006"/>
    <w:rsid w:val="0012736B"/>
    <w:rsid w:val="00130503"/>
    <w:rsid w:val="001307B0"/>
    <w:rsid w:val="00130E23"/>
    <w:rsid w:val="0013127E"/>
    <w:rsid w:val="0013164A"/>
    <w:rsid w:val="0013188A"/>
    <w:rsid w:val="0013240C"/>
    <w:rsid w:val="00132B7D"/>
    <w:rsid w:val="00132E7C"/>
    <w:rsid w:val="001331AA"/>
    <w:rsid w:val="001332EB"/>
    <w:rsid w:val="00133C9E"/>
    <w:rsid w:val="00133E2D"/>
    <w:rsid w:val="00134AAD"/>
    <w:rsid w:val="00134B56"/>
    <w:rsid w:val="00134F37"/>
    <w:rsid w:val="00135222"/>
    <w:rsid w:val="0013615B"/>
    <w:rsid w:val="00136389"/>
    <w:rsid w:val="001363F7"/>
    <w:rsid w:val="00136567"/>
    <w:rsid w:val="00136977"/>
    <w:rsid w:val="00137E1C"/>
    <w:rsid w:val="00137E2E"/>
    <w:rsid w:val="00141DA1"/>
    <w:rsid w:val="001422E0"/>
    <w:rsid w:val="00142ABB"/>
    <w:rsid w:val="00142EBA"/>
    <w:rsid w:val="00143268"/>
    <w:rsid w:val="0014402E"/>
    <w:rsid w:val="00144F8E"/>
    <w:rsid w:val="0014524B"/>
    <w:rsid w:val="001455EA"/>
    <w:rsid w:val="001456AF"/>
    <w:rsid w:val="0014570A"/>
    <w:rsid w:val="001457A8"/>
    <w:rsid w:val="00145A32"/>
    <w:rsid w:val="00145FAE"/>
    <w:rsid w:val="0014655F"/>
    <w:rsid w:val="0014658A"/>
    <w:rsid w:val="00146F4C"/>
    <w:rsid w:val="00146F8A"/>
    <w:rsid w:val="001474CC"/>
    <w:rsid w:val="00147C9A"/>
    <w:rsid w:val="001508EA"/>
    <w:rsid w:val="00150A32"/>
    <w:rsid w:val="00150DB5"/>
    <w:rsid w:val="00150F35"/>
    <w:rsid w:val="0015195A"/>
    <w:rsid w:val="00151FC0"/>
    <w:rsid w:val="00152E5E"/>
    <w:rsid w:val="0015309B"/>
    <w:rsid w:val="0015329A"/>
    <w:rsid w:val="0015372A"/>
    <w:rsid w:val="00153CE6"/>
    <w:rsid w:val="00154320"/>
    <w:rsid w:val="00154355"/>
    <w:rsid w:val="0015452A"/>
    <w:rsid w:val="0015490C"/>
    <w:rsid w:val="0015590F"/>
    <w:rsid w:val="001559E5"/>
    <w:rsid w:val="00155C2A"/>
    <w:rsid w:val="001560B1"/>
    <w:rsid w:val="00156493"/>
    <w:rsid w:val="001569D1"/>
    <w:rsid w:val="00156AD0"/>
    <w:rsid w:val="00156DB5"/>
    <w:rsid w:val="00156E1E"/>
    <w:rsid w:val="0016029A"/>
    <w:rsid w:val="001603E1"/>
    <w:rsid w:val="001606E1"/>
    <w:rsid w:val="001609D6"/>
    <w:rsid w:val="00160E02"/>
    <w:rsid w:val="001613DB"/>
    <w:rsid w:val="001617D9"/>
    <w:rsid w:val="00161B1F"/>
    <w:rsid w:val="00161E82"/>
    <w:rsid w:val="00162A74"/>
    <w:rsid w:val="001630DA"/>
    <w:rsid w:val="00164187"/>
    <w:rsid w:val="0016452E"/>
    <w:rsid w:val="00164C8F"/>
    <w:rsid w:val="00164CBC"/>
    <w:rsid w:val="00164D39"/>
    <w:rsid w:val="0016597F"/>
    <w:rsid w:val="00165A84"/>
    <w:rsid w:val="001662CC"/>
    <w:rsid w:val="00166B65"/>
    <w:rsid w:val="00171075"/>
    <w:rsid w:val="0017208F"/>
    <w:rsid w:val="00172333"/>
    <w:rsid w:val="001723F1"/>
    <w:rsid w:val="0017276C"/>
    <w:rsid w:val="001738A2"/>
    <w:rsid w:val="00173B49"/>
    <w:rsid w:val="00173C6B"/>
    <w:rsid w:val="0017406D"/>
    <w:rsid w:val="0017475A"/>
    <w:rsid w:val="00175635"/>
    <w:rsid w:val="001764FA"/>
    <w:rsid w:val="001767C6"/>
    <w:rsid w:val="00176B9B"/>
    <w:rsid w:val="00177DC1"/>
    <w:rsid w:val="001800EA"/>
    <w:rsid w:val="001803CF"/>
    <w:rsid w:val="00180CAB"/>
    <w:rsid w:val="00180EE7"/>
    <w:rsid w:val="00180FC3"/>
    <w:rsid w:val="001811BC"/>
    <w:rsid w:val="00181902"/>
    <w:rsid w:val="00181BF6"/>
    <w:rsid w:val="00181C0E"/>
    <w:rsid w:val="00182180"/>
    <w:rsid w:val="001827E8"/>
    <w:rsid w:val="00182A94"/>
    <w:rsid w:val="00182D8F"/>
    <w:rsid w:val="00182F5A"/>
    <w:rsid w:val="00183146"/>
    <w:rsid w:val="0018342A"/>
    <w:rsid w:val="001835AD"/>
    <w:rsid w:val="00183819"/>
    <w:rsid w:val="00184D36"/>
    <w:rsid w:val="00184DE6"/>
    <w:rsid w:val="00185108"/>
    <w:rsid w:val="0018566E"/>
    <w:rsid w:val="0018593F"/>
    <w:rsid w:val="00185DDE"/>
    <w:rsid w:val="00185EE7"/>
    <w:rsid w:val="00185EF7"/>
    <w:rsid w:val="00186D07"/>
    <w:rsid w:val="001904BC"/>
    <w:rsid w:val="00190AF6"/>
    <w:rsid w:val="00190C11"/>
    <w:rsid w:val="00190CDF"/>
    <w:rsid w:val="00191199"/>
    <w:rsid w:val="00191CD8"/>
    <w:rsid w:val="00191E43"/>
    <w:rsid w:val="00191FB4"/>
    <w:rsid w:val="001922F0"/>
    <w:rsid w:val="00192692"/>
    <w:rsid w:val="0019304B"/>
    <w:rsid w:val="001937BD"/>
    <w:rsid w:val="0019395A"/>
    <w:rsid w:val="00193FBD"/>
    <w:rsid w:val="0019418F"/>
    <w:rsid w:val="001948F8"/>
    <w:rsid w:val="00194E60"/>
    <w:rsid w:val="0019541A"/>
    <w:rsid w:val="00195586"/>
    <w:rsid w:val="001969DE"/>
    <w:rsid w:val="00196AE7"/>
    <w:rsid w:val="00197B6E"/>
    <w:rsid w:val="001A000A"/>
    <w:rsid w:val="001A0D28"/>
    <w:rsid w:val="001A128F"/>
    <w:rsid w:val="001A19D5"/>
    <w:rsid w:val="001A1A99"/>
    <w:rsid w:val="001A1E13"/>
    <w:rsid w:val="001A21F7"/>
    <w:rsid w:val="001A2221"/>
    <w:rsid w:val="001A222F"/>
    <w:rsid w:val="001A2A6D"/>
    <w:rsid w:val="001A2F15"/>
    <w:rsid w:val="001A2F7C"/>
    <w:rsid w:val="001A3456"/>
    <w:rsid w:val="001A35AE"/>
    <w:rsid w:val="001A3ABA"/>
    <w:rsid w:val="001A3DF4"/>
    <w:rsid w:val="001A41F6"/>
    <w:rsid w:val="001A5CEC"/>
    <w:rsid w:val="001A716E"/>
    <w:rsid w:val="001A7937"/>
    <w:rsid w:val="001A7B6F"/>
    <w:rsid w:val="001A7BA6"/>
    <w:rsid w:val="001A7DFF"/>
    <w:rsid w:val="001A7EA7"/>
    <w:rsid w:val="001B0069"/>
    <w:rsid w:val="001B0332"/>
    <w:rsid w:val="001B0B70"/>
    <w:rsid w:val="001B1789"/>
    <w:rsid w:val="001B1BFC"/>
    <w:rsid w:val="001B1C18"/>
    <w:rsid w:val="001B2EAB"/>
    <w:rsid w:val="001B2F72"/>
    <w:rsid w:val="001B31E6"/>
    <w:rsid w:val="001B36E7"/>
    <w:rsid w:val="001B435C"/>
    <w:rsid w:val="001B43BE"/>
    <w:rsid w:val="001B50C4"/>
    <w:rsid w:val="001B5480"/>
    <w:rsid w:val="001B599F"/>
    <w:rsid w:val="001B6851"/>
    <w:rsid w:val="001B6A84"/>
    <w:rsid w:val="001B6DC9"/>
    <w:rsid w:val="001B6F09"/>
    <w:rsid w:val="001B6F60"/>
    <w:rsid w:val="001B701F"/>
    <w:rsid w:val="001B72A9"/>
    <w:rsid w:val="001B7720"/>
    <w:rsid w:val="001C0932"/>
    <w:rsid w:val="001C0E81"/>
    <w:rsid w:val="001C12B2"/>
    <w:rsid w:val="001C1378"/>
    <w:rsid w:val="001C1E28"/>
    <w:rsid w:val="001C268B"/>
    <w:rsid w:val="001C2A7A"/>
    <w:rsid w:val="001C2BAA"/>
    <w:rsid w:val="001C2CDF"/>
    <w:rsid w:val="001C2E8C"/>
    <w:rsid w:val="001C2F60"/>
    <w:rsid w:val="001C31C4"/>
    <w:rsid w:val="001C3425"/>
    <w:rsid w:val="001C3475"/>
    <w:rsid w:val="001C3C51"/>
    <w:rsid w:val="001C3E47"/>
    <w:rsid w:val="001C4089"/>
    <w:rsid w:val="001C41B2"/>
    <w:rsid w:val="001C46A1"/>
    <w:rsid w:val="001C4769"/>
    <w:rsid w:val="001C4D71"/>
    <w:rsid w:val="001C5398"/>
    <w:rsid w:val="001C566B"/>
    <w:rsid w:val="001C5CBB"/>
    <w:rsid w:val="001C663D"/>
    <w:rsid w:val="001C6AB8"/>
    <w:rsid w:val="001C6F46"/>
    <w:rsid w:val="001C71E4"/>
    <w:rsid w:val="001D04EC"/>
    <w:rsid w:val="001D1151"/>
    <w:rsid w:val="001D138D"/>
    <w:rsid w:val="001D151A"/>
    <w:rsid w:val="001D271C"/>
    <w:rsid w:val="001D39CA"/>
    <w:rsid w:val="001D3F5D"/>
    <w:rsid w:val="001D437D"/>
    <w:rsid w:val="001D4418"/>
    <w:rsid w:val="001D49C7"/>
    <w:rsid w:val="001D4D81"/>
    <w:rsid w:val="001D4F96"/>
    <w:rsid w:val="001D5248"/>
    <w:rsid w:val="001D5723"/>
    <w:rsid w:val="001D5C15"/>
    <w:rsid w:val="001D6ABF"/>
    <w:rsid w:val="001D6C9F"/>
    <w:rsid w:val="001D6F2A"/>
    <w:rsid w:val="001D72CB"/>
    <w:rsid w:val="001D787F"/>
    <w:rsid w:val="001D7C15"/>
    <w:rsid w:val="001E01A7"/>
    <w:rsid w:val="001E1164"/>
    <w:rsid w:val="001E120A"/>
    <w:rsid w:val="001E1A8F"/>
    <w:rsid w:val="001E1B86"/>
    <w:rsid w:val="001E1C7B"/>
    <w:rsid w:val="001E1D26"/>
    <w:rsid w:val="001E1DA4"/>
    <w:rsid w:val="001E2220"/>
    <w:rsid w:val="001E2444"/>
    <w:rsid w:val="001E2875"/>
    <w:rsid w:val="001E359C"/>
    <w:rsid w:val="001E35B4"/>
    <w:rsid w:val="001E400C"/>
    <w:rsid w:val="001E4704"/>
    <w:rsid w:val="001E4E70"/>
    <w:rsid w:val="001E581C"/>
    <w:rsid w:val="001E5D73"/>
    <w:rsid w:val="001E5DE1"/>
    <w:rsid w:val="001E66CC"/>
    <w:rsid w:val="001E66EE"/>
    <w:rsid w:val="001E66F9"/>
    <w:rsid w:val="001E6AB5"/>
    <w:rsid w:val="001E7505"/>
    <w:rsid w:val="001F058C"/>
    <w:rsid w:val="001F1EEA"/>
    <w:rsid w:val="001F20DC"/>
    <w:rsid w:val="001F226D"/>
    <w:rsid w:val="001F23A7"/>
    <w:rsid w:val="001F2698"/>
    <w:rsid w:val="001F28C7"/>
    <w:rsid w:val="001F2A79"/>
    <w:rsid w:val="001F2AC4"/>
    <w:rsid w:val="001F2C61"/>
    <w:rsid w:val="001F301B"/>
    <w:rsid w:val="001F30AD"/>
    <w:rsid w:val="001F36A0"/>
    <w:rsid w:val="001F3B7E"/>
    <w:rsid w:val="001F4DE2"/>
    <w:rsid w:val="001F4EEA"/>
    <w:rsid w:val="001F5DCA"/>
    <w:rsid w:val="001F5DF1"/>
    <w:rsid w:val="001F5E0B"/>
    <w:rsid w:val="001F607A"/>
    <w:rsid w:val="001F65F7"/>
    <w:rsid w:val="001F6D9C"/>
    <w:rsid w:val="001F6EB0"/>
    <w:rsid w:val="001F71F5"/>
    <w:rsid w:val="001F72B1"/>
    <w:rsid w:val="001F76C1"/>
    <w:rsid w:val="00200073"/>
    <w:rsid w:val="002000FD"/>
    <w:rsid w:val="002002F7"/>
    <w:rsid w:val="0020037A"/>
    <w:rsid w:val="0020058F"/>
    <w:rsid w:val="002007FB"/>
    <w:rsid w:val="00200AA4"/>
    <w:rsid w:val="0020115B"/>
    <w:rsid w:val="002012FA"/>
    <w:rsid w:val="00202507"/>
    <w:rsid w:val="0020286F"/>
    <w:rsid w:val="00202D88"/>
    <w:rsid w:val="002033A8"/>
    <w:rsid w:val="0020399F"/>
    <w:rsid w:val="00203B5D"/>
    <w:rsid w:val="002040A4"/>
    <w:rsid w:val="00204633"/>
    <w:rsid w:val="00204A2E"/>
    <w:rsid w:val="002057E3"/>
    <w:rsid w:val="00205EE2"/>
    <w:rsid w:val="0020628A"/>
    <w:rsid w:val="002063F6"/>
    <w:rsid w:val="002064D7"/>
    <w:rsid w:val="0020653F"/>
    <w:rsid w:val="00206CF9"/>
    <w:rsid w:val="002070A2"/>
    <w:rsid w:val="00207529"/>
    <w:rsid w:val="00207869"/>
    <w:rsid w:val="00207F93"/>
    <w:rsid w:val="00210701"/>
    <w:rsid w:val="00211030"/>
    <w:rsid w:val="0021125C"/>
    <w:rsid w:val="002113CA"/>
    <w:rsid w:val="0021186E"/>
    <w:rsid w:val="00211F47"/>
    <w:rsid w:val="002122AE"/>
    <w:rsid w:val="002143A8"/>
    <w:rsid w:val="002145DD"/>
    <w:rsid w:val="002148FF"/>
    <w:rsid w:val="00214903"/>
    <w:rsid w:val="00214A9B"/>
    <w:rsid w:val="00215025"/>
    <w:rsid w:val="00215EF7"/>
    <w:rsid w:val="002160FB"/>
    <w:rsid w:val="00216215"/>
    <w:rsid w:val="002166EA"/>
    <w:rsid w:val="00216ECD"/>
    <w:rsid w:val="00217183"/>
    <w:rsid w:val="0021741E"/>
    <w:rsid w:val="002176F8"/>
    <w:rsid w:val="002176FE"/>
    <w:rsid w:val="00217BAD"/>
    <w:rsid w:val="0022089F"/>
    <w:rsid w:val="00221129"/>
    <w:rsid w:val="00221838"/>
    <w:rsid w:val="00221AEC"/>
    <w:rsid w:val="00221DA8"/>
    <w:rsid w:val="00222205"/>
    <w:rsid w:val="00223D4C"/>
    <w:rsid w:val="00223DEA"/>
    <w:rsid w:val="002248C7"/>
    <w:rsid w:val="00225471"/>
    <w:rsid w:val="00225782"/>
    <w:rsid w:val="00225DEF"/>
    <w:rsid w:val="00226485"/>
    <w:rsid w:val="00226B25"/>
    <w:rsid w:val="00226E4B"/>
    <w:rsid w:val="002271BF"/>
    <w:rsid w:val="00227A2A"/>
    <w:rsid w:val="002300FD"/>
    <w:rsid w:val="0023036F"/>
    <w:rsid w:val="002304AE"/>
    <w:rsid w:val="00231411"/>
    <w:rsid w:val="00231E72"/>
    <w:rsid w:val="00231FF9"/>
    <w:rsid w:val="00232076"/>
    <w:rsid w:val="00232BB0"/>
    <w:rsid w:val="00232F71"/>
    <w:rsid w:val="00233A88"/>
    <w:rsid w:val="00233AF0"/>
    <w:rsid w:val="00233CB9"/>
    <w:rsid w:val="00234362"/>
    <w:rsid w:val="00234563"/>
    <w:rsid w:val="0023461E"/>
    <w:rsid w:val="00234BC1"/>
    <w:rsid w:val="00235257"/>
    <w:rsid w:val="00235956"/>
    <w:rsid w:val="00235F13"/>
    <w:rsid w:val="00235FA7"/>
    <w:rsid w:val="0023692B"/>
    <w:rsid w:val="00236B57"/>
    <w:rsid w:val="00236C75"/>
    <w:rsid w:val="00236FF4"/>
    <w:rsid w:val="00237A34"/>
    <w:rsid w:val="00237AA0"/>
    <w:rsid w:val="00237B0C"/>
    <w:rsid w:val="00240378"/>
    <w:rsid w:val="00240F2C"/>
    <w:rsid w:val="0024102E"/>
    <w:rsid w:val="00241602"/>
    <w:rsid w:val="00241E15"/>
    <w:rsid w:val="00242CF1"/>
    <w:rsid w:val="002432F4"/>
    <w:rsid w:val="00243868"/>
    <w:rsid w:val="00244496"/>
    <w:rsid w:val="00244D9A"/>
    <w:rsid w:val="002463D3"/>
    <w:rsid w:val="002477CC"/>
    <w:rsid w:val="00247B65"/>
    <w:rsid w:val="00247ECE"/>
    <w:rsid w:val="00251617"/>
    <w:rsid w:val="00251CFC"/>
    <w:rsid w:val="00251F5A"/>
    <w:rsid w:val="00252343"/>
    <w:rsid w:val="002523A6"/>
    <w:rsid w:val="00252C3C"/>
    <w:rsid w:val="0025319E"/>
    <w:rsid w:val="002532EA"/>
    <w:rsid w:val="00253D07"/>
    <w:rsid w:val="00253E92"/>
    <w:rsid w:val="002547A3"/>
    <w:rsid w:val="00255118"/>
    <w:rsid w:val="00255C70"/>
    <w:rsid w:val="00256392"/>
    <w:rsid w:val="002567ED"/>
    <w:rsid w:val="00256B40"/>
    <w:rsid w:val="00256B6F"/>
    <w:rsid w:val="00256C71"/>
    <w:rsid w:val="00256E74"/>
    <w:rsid w:val="00256FCE"/>
    <w:rsid w:val="0025707C"/>
    <w:rsid w:val="00257356"/>
    <w:rsid w:val="0025773F"/>
    <w:rsid w:val="002579B4"/>
    <w:rsid w:val="00257F48"/>
    <w:rsid w:val="0026005A"/>
    <w:rsid w:val="002603C1"/>
    <w:rsid w:val="0026048F"/>
    <w:rsid w:val="00260E73"/>
    <w:rsid w:val="00261597"/>
    <w:rsid w:val="00261AA6"/>
    <w:rsid w:val="00261D6F"/>
    <w:rsid w:val="00261FB3"/>
    <w:rsid w:val="002621A4"/>
    <w:rsid w:val="00262542"/>
    <w:rsid w:val="002632F2"/>
    <w:rsid w:val="002634BF"/>
    <w:rsid w:val="00263C77"/>
    <w:rsid w:val="00263CAA"/>
    <w:rsid w:val="00264B5C"/>
    <w:rsid w:val="00264D2A"/>
    <w:rsid w:val="0026616D"/>
    <w:rsid w:val="00266303"/>
    <w:rsid w:val="00266FC7"/>
    <w:rsid w:val="002679AD"/>
    <w:rsid w:val="00267D81"/>
    <w:rsid w:val="00267EBD"/>
    <w:rsid w:val="00267F65"/>
    <w:rsid w:val="00270652"/>
    <w:rsid w:val="002709D5"/>
    <w:rsid w:val="00270E68"/>
    <w:rsid w:val="00271599"/>
    <w:rsid w:val="002719C8"/>
    <w:rsid w:val="00271B48"/>
    <w:rsid w:val="00271DF0"/>
    <w:rsid w:val="00272C43"/>
    <w:rsid w:val="00272EC8"/>
    <w:rsid w:val="002730C0"/>
    <w:rsid w:val="0027443A"/>
    <w:rsid w:val="002749DE"/>
    <w:rsid w:val="00274BE6"/>
    <w:rsid w:val="00274F2C"/>
    <w:rsid w:val="00274FE0"/>
    <w:rsid w:val="0027500F"/>
    <w:rsid w:val="0027579E"/>
    <w:rsid w:val="00275E44"/>
    <w:rsid w:val="002762FA"/>
    <w:rsid w:val="00276329"/>
    <w:rsid w:val="00276861"/>
    <w:rsid w:val="00276A37"/>
    <w:rsid w:val="00276BA0"/>
    <w:rsid w:val="00277DDE"/>
    <w:rsid w:val="00280015"/>
    <w:rsid w:val="0028037A"/>
    <w:rsid w:val="00280627"/>
    <w:rsid w:val="002806A0"/>
    <w:rsid w:val="00280AD9"/>
    <w:rsid w:val="00281EAF"/>
    <w:rsid w:val="002821E1"/>
    <w:rsid w:val="00282E7B"/>
    <w:rsid w:val="002833D3"/>
    <w:rsid w:val="00283887"/>
    <w:rsid w:val="00283DE7"/>
    <w:rsid w:val="00285635"/>
    <w:rsid w:val="00285660"/>
    <w:rsid w:val="00285DF6"/>
    <w:rsid w:val="00285F6F"/>
    <w:rsid w:val="002866D3"/>
    <w:rsid w:val="00286A61"/>
    <w:rsid w:val="002878EB"/>
    <w:rsid w:val="00287981"/>
    <w:rsid w:val="00290117"/>
    <w:rsid w:val="0029032D"/>
    <w:rsid w:val="002908DA"/>
    <w:rsid w:val="00290D77"/>
    <w:rsid w:val="00291140"/>
    <w:rsid w:val="0029191F"/>
    <w:rsid w:val="00291A15"/>
    <w:rsid w:val="00291CD3"/>
    <w:rsid w:val="002920DC"/>
    <w:rsid w:val="0029261C"/>
    <w:rsid w:val="00292A81"/>
    <w:rsid w:val="00292C22"/>
    <w:rsid w:val="00293E15"/>
    <w:rsid w:val="00293F31"/>
    <w:rsid w:val="0029474F"/>
    <w:rsid w:val="00294788"/>
    <w:rsid w:val="0029495B"/>
    <w:rsid w:val="00294E95"/>
    <w:rsid w:val="002950D2"/>
    <w:rsid w:val="002955D9"/>
    <w:rsid w:val="00295ED5"/>
    <w:rsid w:val="00297142"/>
    <w:rsid w:val="00297729"/>
    <w:rsid w:val="002977C9"/>
    <w:rsid w:val="002977E5"/>
    <w:rsid w:val="00297C2B"/>
    <w:rsid w:val="002A03F6"/>
    <w:rsid w:val="002A07E4"/>
    <w:rsid w:val="002A0EC7"/>
    <w:rsid w:val="002A131E"/>
    <w:rsid w:val="002A1CDF"/>
    <w:rsid w:val="002A2551"/>
    <w:rsid w:val="002A2A0E"/>
    <w:rsid w:val="002A31B9"/>
    <w:rsid w:val="002A4161"/>
    <w:rsid w:val="002A4385"/>
    <w:rsid w:val="002A4E3D"/>
    <w:rsid w:val="002A4F21"/>
    <w:rsid w:val="002A526E"/>
    <w:rsid w:val="002A5BA9"/>
    <w:rsid w:val="002A6730"/>
    <w:rsid w:val="002A6A56"/>
    <w:rsid w:val="002A6F61"/>
    <w:rsid w:val="002A7707"/>
    <w:rsid w:val="002A7CA3"/>
    <w:rsid w:val="002B01D2"/>
    <w:rsid w:val="002B034E"/>
    <w:rsid w:val="002B0430"/>
    <w:rsid w:val="002B0AB9"/>
    <w:rsid w:val="002B1493"/>
    <w:rsid w:val="002B1E30"/>
    <w:rsid w:val="002B2227"/>
    <w:rsid w:val="002B22C1"/>
    <w:rsid w:val="002B2778"/>
    <w:rsid w:val="002B2BE7"/>
    <w:rsid w:val="002B3CDF"/>
    <w:rsid w:val="002B4282"/>
    <w:rsid w:val="002B43C8"/>
    <w:rsid w:val="002B52E6"/>
    <w:rsid w:val="002B52F4"/>
    <w:rsid w:val="002B5837"/>
    <w:rsid w:val="002B5D3B"/>
    <w:rsid w:val="002B5F48"/>
    <w:rsid w:val="002B6252"/>
    <w:rsid w:val="002B6719"/>
    <w:rsid w:val="002B71D6"/>
    <w:rsid w:val="002B72AE"/>
    <w:rsid w:val="002B7989"/>
    <w:rsid w:val="002C04A4"/>
    <w:rsid w:val="002C20C5"/>
    <w:rsid w:val="002C2104"/>
    <w:rsid w:val="002C2574"/>
    <w:rsid w:val="002C2C8B"/>
    <w:rsid w:val="002C2CD6"/>
    <w:rsid w:val="002C2D4D"/>
    <w:rsid w:val="002C30B2"/>
    <w:rsid w:val="002C369D"/>
    <w:rsid w:val="002C3709"/>
    <w:rsid w:val="002C3810"/>
    <w:rsid w:val="002C3DFD"/>
    <w:rsid w:val="002C4272"/>
    <w:rsid w:val="002C4C6C"/>
    <w:rsid w:val="002C558A"/>
    <w:rsid w:val="002C5AF9"/>
    <w:rsid w:val="002C5E20"/>
    <w:rsid w:val="002C5E2F"/>
    <w:rsid w:val="002C601B"/>
    <w:rsid w:val="002C719C"/>
    <w:rsid w:val="002C7867"/>
    <w:rsid w:val="002D04B8"/>
    <w:rsid w:val="002D09BA"/>
    <w:rsid w:val="002D0D15"/>
    <w:rsid w:val="002D1243"/>
    <w:rsid w:val="002D1384"/>
    <w:rsid w:val="002D20C2"/>
    <w:rsid w:val="002D2C3E"/>
    <w:rsid w:val="002D3E4C"/>
    <w:rsid w:val="002D3EDB"/>
    <w:rsid w:val="002D4D38"/>
    <w:rsid w:val="002D4F30"/>
    <w:rsid w:val="002D4F8E"/>
    <w:rsid w:val="002D529B"/>
    <w:rsid w:val="002D538B"/>
    <w:rsid w:val="002D5D16"/>
    <w:rsid w:val="002D649D"/>
    <w:rsid w:val="002D6FEB"/>
    <w:rsid w:val="002D7029"/>
    <w:rsid w:val="002D7A06"/>
    <w:rsid w:val="002E0785"/>
    <w:rsid w:val="002E080B"/>
    <w:rsid w:val="002E13A3"/>
    <w:rsid w:val="002E14B5"/>
    <w:rsid w:val="002E1558"/>
    <w:rsid w:val="002E1A42"/>
    <w:rsid w:val="002E222A"/>
    <w:rsid w:val="002E2400"/>
    <w:rsid w:val="002E2751"/>
    <w:rsid w:val="002E289D"/>
    <w:rsid w:val="002E2A8B"/>
    <w:rsid w:val="002E2FD0"/>
    <w:rsid w:val="002E31BF"/>
    <w:rsid w:val="002E32C1"/>
    <w:rsid w:val="002E33AC"/>
    <w:rsid w:val="002E39CC"/>
    <w:rsid w:val="002E3F30"/>
    <w:rsid w:val="002E4928"/>
    <w:rsid w:val="002E53CB"/>
    <w:rsid w:val="002E53D2"/>
    <w:rsid w:val="002E553C"/>
    <w:rsid w:val="002E5A4A"/>
    <w:rsid w:val="002E627A"/>
    <w:rsid w:val="002E696F"/>
    <w:rsid w:val="002E70D3"/>
    <w:rsid w:val="002E7BE8"/>
    <w:rsid w:val="002E7E00"/>
    <w:rsid w:val="002F0483"/>
    <w:rsid w:val="002F1088"/>
    <w:rsid w:val="002F1132"/>
    <w:rsid w:val="002F1BCC"/>
    <w:rsid w:val="002F1C68"/>
    <w:rsid w:val="002F1DAA"/>
    <w:rsid w:val="002F2078"/>
    <w:rsid w:val="002F2138"/>
    <w:rsid w:val="002F240B"/>
    <w:rsid w:val="002F2569"/>
    <w:rsid w:val="002F2E6B"/>
    <w:rsid w:val="002F3382"/>
    <w:rsid w:val="002F33F9"/>
    <w:rsid w:val="002F4238"/>
    <w:rsid w:val="002F42C0"/>
    <w:rsid w:val="002F45C1"/>
    <w:rsid w:val="002F4AC7"/>
    <w:rsid w:val="002F50AB"/>
    <w:rsid w:val="002F51A8"/>
    <w:rsid w:val="002F5B67"/>
    <w:rsid w:val="002F5C86"/>
    <w:rsid w:val="002F5F8D"/>
    <w:rsid w:val="002F642D"/>
    <w:rsid w:val="002F6EC4"/>
    <w:rsid w:val="002F7039"/>
    <w:rsid w:val="002F74B2"/>
    <w:rsid w:val="003004A6"/>
    <w:rsid w:val="00300567"/>
    <w:rsid w:val="00300746"/>
    <w:rsid w:val="0030096F"/>
    <w:rsid w:val="00300AE8"/>
    <w:rsid w:val="003011A8"/>
    <w:rsid w:val="003018BF"/>
    <w:rsid w:val="00301994"/>
    <w:rsid w:val="0030269E"/>
    <w:rsid w:val="00303483"/>
    <w:rsid w:val="0030397C"/>
    <w:rsid w:val="00303CBE"/>
    <w:rsid w:val="0030425F"/>
    <w:rsid w:val="00305606"/>
    <w:rsid w:val="00305E76"/>
    <w:rsid w:val="00306D1D"/>
    <w:rsid w:val="003071F3"/>
    <w:rsid w:val="00307997"/>
    <w:rsid w:val="00307CE5"/>
    <w:rsid w:val="00307F97"/>
    <w:rsid w:val="00307FC8"/>
    <w:rsid w:val="003101FA"/>
    <w:rsid w:val="0031052B"/>
    <w:rsid w:val="00310784"/>
    <w:rsid w:val="003107D1"/>
    <w:rsid w:val="0031168C"/>
    <w:rsid w:val="00311CAE"/>
    <w:rsid w:val="00312E08"/>
    <w:rsid w:val="0031349B"/>
    <w:rsid w:val="00314531"/>
    <w:rsid w:val="00314869"/>
    <w:rsid w:val="0031541E"/>
    <w:rsid w:val="00315563"/>
    <w:rsid w:val="00315861"/>
    <w:rsid w:val="00315E46"/>
    <w:rsid w:val="00316991"/>
    <w:rsid w:val="00316AD2"/>
    <w:rsid w:val="00317533"/>
    <w:rsid w:val="00317C78"/>
    <w:rsid w:val="003202E1"/>
    <w:rsid w:val="00320596"/>
    <w:rsid w:val="00320769"/>
    <w:rsid w:val="00321016"/>
    <w:rsid w:val="00321134"/>
    <w:rsid w:val="003211D5"/>
    <w:rsid w:val="0032136A"/>
    <w:rsid w:val="00322162"/>
    <w:rsid w:val="003221EF"/>
    <w:rsid w:val="00322D36"/>
    <w:rsid w:val="00322E6C"/>
    <w:rsid w:val="00322F95"/>
    <w:rsid w:val="003235F4"/>
    <w:rsid w:val="00323E25"/>
    <w:rsid w:val="003242B1"/>
    <w:rsid w:val="003246F2"/>
    <w:rsid w:val="003253D5"/>
    <w:rsid w:val="00325857"/>
    <w:rsid w:val="00326BC9"/>
    <w:rsid w:val="00326C12"/>
    <w:rsid w:val="00326DC5"/>
    <w:rsid w:val="00327581"/>
    <w:rsid w:val="00330323"/>
    <w:rsid w:val="00330324"/>
    <w:rsid w:val="00330C80"/>
    <w:rsid w:val="00330EC6"/>
    <w:rsid w:val="003311FB"/>
    <w:rsid w:val="00331702"/>
    <w:rsid w:val="00331927"/>
    <w:rsid w:val="00331989"/>
    <w:rsid w:val="00331DD6"/>
    <w:rsid w:val="00332307"/>
    <w:rsid w:val="00332D7F"/>
    <w:rsid w:val="00332ED2"/>
    <w:rsid w:val="00333045"/>
    <w:rsid w:val="003331B8"/>
    <w:rsid w:val="003337A8"/>
    <w:rsid w:val="003338A4"/>
    <w:rsid w:val="00334A29"/>
    <w:rsid w:val="00334A3B"/>
    <w:rsid w:val="003354C7"/>
    <w:rsid w:val="003359B8"/>
    <w:rsid w:val="003359BC"/>
    <w:rsid w:val="003359EF"/>
    <w:rsid w:val="00335B1A"/>
    <w:rsid w:val="00336732"/>
    <w:rsid w:val="00336A87"/>
    <w:rsid w:val="003378EC"/>
    <w:rsid w:val="00337D49"/>
    <w:rsid w:val="003403EA"/>
    <w:rsid w:val="00341D90"/>
    <w:rsid w:val="00341F71"/>
    <w:rsid w:val="0034292F"/>
    <w:rsid w:val="00343515"/>
    <w:rsid w:val="0034394F"/>
    <w:rsid w:val="00343985"/>
    <w:rsid w:val="00343D2D"/>
    <w:rsid w:val="0034587F"/>
    <w:rsid w:val="00345D5F"/>
    <w:rsid w:val="00345D74"/>
    <w:rsid w:val="00345D7A"/>
    <w:rsid w:val="00346195"/>
    <w:rsid w:val="003465AE"/>
    <w:rsid w:val="00346C36"/>
    <w:rsid w:val="00346CE8"/>
    <w:rsid w:val="003471B1"/>
    <w:rsid w:val="003479E5"/>
    <w:rsid w:val="00347C91"/>
    <w:rsid w:val="00350039"/>
    <w:rsid w:val="003503CE"/>
    <w:rsid w:val="00350B68"/>
    <w:rsid w:val="00350E0C"/>
    <w:rsid w:val="003514A8"/>
    <w:rsid w:val="00351764"/>
    <w:rsid w:val="00351FD3"/>
    <w:rsid w:val="003520D1"/>
    <w:rsid w:val="0035351B"/>
    <w:rsid w:val="00354684"/>
    <w:rsid w:val="00354DC1"/>
    <w:rsid w:val="00354E5D"/>
    <w:rsid w:val="003550DF"/>
    <w:rsid w:val="003555C6"/>
    <w:rsid w:val="00355B05"/>
    <w:rsid w:val="00356199"/>
    <w:rsid w:val="003567AC"/>
    <w:rsid w:val="00356FD6"/>
    <w:rsid w:val="003570DE"/>
    <w:rsid w:val="0035720D"/>
    <w:rsid w:val="00357C13"/>
    <w:rsid w:val="003603F0"/>
    <w:rsid w:val="0036059E"/>
    <w:rsid w:val="003608FC"/>
    <w:rsid w:val="00360CD6"/>
    <w:rsid w:val="003617FA"/>
    <w:rsid w:val="00361AD4"/>
    <w:rsid w:val="00362697"/>
    <w:rsid w:val="0036273C"/>
    <w:rsid w:val="003628D8"/>
    <w:rsid w:val="00362AC3"/>
    <w:rsid w:val="00363308"/>
    <w:rsid w:val="00363B18"/>
    <w:rsid w:val="00363C58"/>
    <w:rsid w:val="0036408C"/>
    <w:rsid w:val="003645EC"/>
    <w:rsid w:val="003650DF"/>
    <w:rsid w:val="0036515C"/>
    <w:rsid w:val="00365AA2"/>
    <w:rsid w:val="0036618A"/>
    <w:rsid w:val="00366577"/>
    <w:rsid w:val="00367685"/>
    <w:rsid w:val="00367A98"/>
    <w:rsid w:val="003700B6"/>
    <w:rsid w:val="00370161"/>
    <w:rsid w:val="00370200"/>
    <w:rsid w:val="003708B1"/>
    <w:rsid w:val="00370C13"/>
    <w:rsid w:val="00371479"/>
    <w:rsid w:val="00371922"/>
    <w:rsid w:val="00371A55"/>
    <w:rsid w:val="00371CE4"/>
    <w:rsid w:val="00371DCE"/>
    <w:rsid w:val="003729A0"/>
    <w:rsid w:val="00373178"/>
    <w:rsid w:val="00373D00"/>
    <w:rsid w:val="00374275"/>
    <w:rsid w:val="003746FB"/>
    <w:rsid w:val="00374776"/>
    <w:rsid w:val="00374D4E"/>
    <w:rsid w:val="003756A5"/>
    <w:rsid w:val="0037683D"/>
    <w:rsid w:val="003768DC"/>
    <w:rsid w:val="00376F5C"/>
    <w:rsid w:val="0037738A"/>
    <w:rsid w:val="003775A0"/>
    <w:rsid w:val="00380808"/>
    <w:rsid w:val="00380820"/>
    <w:rsid w:val="00383B5E"/>
    <w:rsid w:val="00383E38"/>
    <w:rsid w:val="00384083"/>
    <w:rsid w:val="00384C9C"/>
    <w:rsid w:val="0038550E"/>
    <w:rsid w:val="00385A6A"/>
    <w:rsid w:val="00385E99"/>
    <w:rsid w:val="00385EC6"/>
    <w:rsid w:val="00385EE8"/>
    <w:rsid w:val="0038604E"/>
    <w:rsid w:val="00386355"/>
    <w:rsid w:val="00386590"/>
    <w:rsid w:val="00386A21"/>
    <w:rsid w:val="00387416"/>
    <w:rsid w:val="003902DC"/>
    <w:rsid w:val="003908D5"/>
    <w:rsid w:val="00390B2A"/>
    <w:rsid w:val="0039144B"/>
    <w:rsid w:val="0039208F"/>
    <w:rsid w:val="003925CF"/>
    <w:rsid w:val="00393117"/>
    <w:rsid w:val="00393640"/>
    <w:rsid w:val="00393F7E"/>
    <w:rsid w:val="003944FC"/>
    <w:rsid w:val="00394679"/>
    <w:rsid w:val="00394732"/>
    <w:rsid w:val="00394D23"/>
    <w:rsid w:val="00394FAD"/>
    <w:rsid w:val="003955DF"/>
    <w:rsid w:val="00395692"/>
    <w:rsid w:val="00395745"/>
    <w:rsid w:val="00395865"/>
    <w:rsid w:val="00395CE3"/>
    <w:rsid w:val="00395EB2"/>
    <w:rsid w:val="003966B1"/>
    <w:rsid w:val="0039690A"/>
    <w:rsid w:val="0039710D"/>
    <w:rsid w:val="003979DE"/>
    <w:rsid w:val="003A0029"/>
    <w:rsid w:val="003A00DD"/>
    <w:rsid w:val="003A0516"/>
    <w:rsid w:val="003A0690"/>
    <w:rsid w:val="003A10C6"/>
    <w:rsid w:val="003A127C"/>
    <w:rsid w:val="003A134C"/>
    <w:rsid w:val="003A1700"/>
    <w:rsid w:val="003A19C9"/>
    <w:rsid w:val="003A1C8D"/>
    <w:rsid w:val="003A21C0"/>
    <w:rsid w:val="003A2B5E"/>
    <w:rsid w:val="003A2E79"/>
    <w:rsid w:val="003A332F"/>
    <w:rsid w:val="003A36B3"/>
    <w:rsid w:val="003A3924"/>
    <w:rsid w:val="003A3C4B"/>
    <w:rsid w:val="003A3CA2"/>
    <w:rsid w:val="003A3D69"/>
    <w:rsid w:val="003A3F55"/>
    <w:rsid w:val="003A43D7"/>
    <w:rsid w:val="003A4567"/>
    <w:rsid w:val="003A45E7"/>
    <w:rsid w:val="003A48E6"/>
    <w:rsid w:val="003A4F36"/>
    <w:rsid w:val="003A5313"/>
    <w:rsid w:val="003A5D20"/>
    <w:rsid w:val="003A7090"/>
    <w:rsid w:val="003A711E"/>
    <w:rsid w:val="003A7241"/>
    <w:rsid w:val="003A790F"/>
    <w:rsid w:val="003A7D88"/>
    <w:rsid w:val="003A7EFC"/>
    <w:rsid w:val="003B0309"/>
    <w:rsid w:val="003B0409"/>
    <w:rsid w:val="003B0A34"/>
    <w:rsid w:val="003B0B25"/>
    <w:rsid w:val="003B1036"/>
    <w:rsid w:val="003B10E6"/>
    <w:rsid w:val="003B1EDB"/>
    <w:rsid w:val="003B24D7"/>
    <w:rsid w:val="003B2BAD"/>
    <w:rsid w:val="003B5235"/>
    <w:rsid w:val="003B5702"/>
    <w:rsid w:val="003B5D35"/>
    <w:rsid w:val="003B5DFF"/>
    <w:rsid w:val="003B643E"/>
    <w:rsid w:val="003B6922"/>
    <w:rsid w:val="003B6A12"/>
    <w:rsid w:val="003B6ED0"/>
    <w:rsid w:val="003B6F72"/>
    <w:rsid w:val="003B72D3"/>
    <w:rsid w:val="003B7BF5"/>
    <w:rsid w:val="003B7F2E"/>
    <w:rsid w:val="003C05B2"/>
    <w:rsid w:val="003C0A47"/>
    <w:rsid w:val="003C1A14"/>
    <w:rsid w:val="003C1CB6"/>
    <w:rsid w:val="003C2604"/>
    <w:rsid w:val="003C2942"/>
    <w:rsid w:val="003C2A28"/>
    <w:rsid w:val="003C2A4A"/>
    <w:rsid w:val="003C39BF"/>
    <w:rsid w:val="003C461D"/>
    <w:rsid w:val="003C59D4"/>
    <w:rsid w:val="003C651B"/>
    <w:rsid w:val="003C6C30"/>
    <w:rsid w:val="003C76DF"/>
    <w:rsid w:val="003C7DEA"/>
    <w:rsid w:val="003D006C"/>
    <w:rsid w:val="003D0AC9"/>
    <w:rsid w:val="003D0C52"/>
    <w:rsid w:val="003D0FC7"/>
    <w:rsid w:val="003D1043"/>
    <w:rsid w:val="003D1BFE"/>
    <w:rsid w:val="003D1FB6"/>
    <w:rsid w:val="003D2DEA"/>
    <w:rsid w:val="003D325F"/>
    <w:rsid w:val="003D3985"/>
    <w:rsid w:val="003D43EA"/>
    <w:rsid w:val="003D4514"/>
    <w:rsid w:val="003D47D7"/>
    <w:rsid w:val="003D4944"/>
    <w:rsid w:val="003D5012"/>
    <w:rsid w:val="003D50D7"/>
    <w:rsid w:val="003D5D39"/>
    <w:rsid w:val="003D5D56"/>
    <w:rsid w:val="003D5E4C"/>
    <w:rsid w:val="003D67DC"/>
    <w:rsid w:val="003D6D2E"/>
    <w:rsid w:val="003D7375"/>
    <w:rsid w:val="003D7A61"/>
    <w:rsid w:val="003D7E33"/>
    <w:rsid w:val="003E0016"/>
    <w:rsid w:val="003E0151"/>
    <w:rsid w:val="003E09C8"/>
    <w:rsid w:val="003E0AAF"/>
    <w:rsid w:val="003E1885"/>
    <w:rsid w:val="003E1893"/>
    <w:rsid w:val="003E197C"/>
    <w:rsid w:val="003E1B57"/>
    <w:rsid w:val="003E1DDA"/>
    <w:rsid w:val="003E1F19"/>
    <w:rsid w:val="003E2503"/>
    <w:rsid w:val="003E2893"/>
    <w:rsid w:val="003E2F0B"/>
    <w:rsid w:val="003E3553"/>
    <w:rsid w:val="003E3962"/>
    <w:rsid w:val="003E3A87"/>
    <w:rsid w:val="003E4F63"/>
    <w:rsid w:val="003E51C3"/>
    <w:rsid w:val="003E5DB7"/>
    <w:rsid w:val="003E66E1"/>
    <w:rsid w:val="003E6939"/>
    <w:rsid w:val="003E7294"/>
    <w:rsid w:val="003E7304"/>
    <w:rsid w:val="003F01EA"/>
    <w:rsid w:val="003F01F3"/>
    <w:rsid w:val="003F06F2"/>
    <w:rsid w:val="003F1036"/>
    <w:rsid w:val="003F11C4"/>
    <w:rsid w:val="003F14E8"/>
    <w:rsid w:val="003F166C"/>
    <w:rsid w:val="003F18C6"/>
    <w:rsid w:val="003F1BED"/>
    <w:rsid w:val="003F1E9F"/>
    <w:rsid w:val="003F3624"/>
    <w:rsid w:val="003F3878"/>
    <w:rsid w:val="003F39E6"/>
    <w:rsid w:val="003F4202"/>
    <w:rsid w:val="003F4452"/>
    <w:rsid w:val="003F4A3C"/>
    <w:rsid w:val="003F4AF6"/>
    <w:rsid w:val="003F5775"/>
    <w:rsid w:val="003F58D8"/>
    <w:rsid w:val="003F5B8A"/>
    <w:rsid w:val="003F6448"/>
    <w:rsid w:val="003F6850"/>
    <w:rsid w:val="003F687C"/>
    <w:rsid w:val="003F75DB"/>
    <w:rsid w:val="003F7C71"/>
    <w:rsid w:val="003F7F96"/>
    <w:rsid w:val="00400296"/>
    <w:rsid w:val="00400C58"/>
    <w:rsid w:val="004013C8"/>
    <w:rsid w:val="004013FD"/>
    <w:rsid w:val="0040141B"/>
    <w:rsid w:val="0040145C"/>
    <w:rsid w:val="004014C7"/>
    <w:rsid w:val="00401696"/>
    <w:rsid w:val="004016B1"/>
    <w:rsid w:val="0040175A"/>
    <w:rsid w:val="00402482"/>
    <w:rsid w:val="00402517"/>
    <w:rsid w:val="0040371F"/>
    <w:rsid w:val="00403D3B"/>
    <w:rsid w:val="00403F88"/>
    <w:rsid w:val="004044D0"/>
    <w:rsid w:val="0040494C"/>
    <w:rsid w:val="0040544C"/>
    <w:rsid w:val="004058EC"/>
    <w:rsid w:val="00405BAD"/>
    <w:rsid w:val="00405C8A"/>
    <w:rsid w:val="00405E3F"/>
    <w:rsid w:val="00405FF5"/>
    <w:rsid w:val="0040641E"/>
    <w:rsid w:val="004066EA"/>
    <w:rsid w:val="00406A16"/>
    <w:rsid w:val="00406F23"/>
    <w:rsid w:val="004071B7"/>
    <w:rsid w:val="00407554"/>
    <w:rsid w:val="00407686"/>
    <w:rsid w:val="0040768F"/>
    <w:rsid w:val="0040785E"/>
    <w:rsid w:val="004104F7"/>
    <w:rsid w:val="00410930"/>
    <w:rsid w:val="00410A58"/>
    <w:rsid w:val="00410B3A"/>
    <w:rsid w:val="00410B82"/>
    <w:rsid w:val="00410C08"/>
    <w:rsid w:val="00411145"/>
    <w:rsid w:val="00411164"/>
    <w:rsid w:val="00411BDE"/>
    <w:rsid w:val="00412094"/>
    <w:rsid w:val="004129A3"/>
    <w:rsid w:val="00412B1B"/>
    <w:rsid w:val="004139E8"/>
    <w:rsid w:val="00413B39"/>
    <w:rsid w:val="00413F8E"/>
    <w:rsid w:val="004141C1"/>
    <w:rsid w:val="00415567"/>
    <w:rsid w:val="004163BB"/>
    <w:rsid w:val="00416D22"/>
    <w:rsid w:val="004172A4"/>
    <w:rsid w:val="0042002A"/>
    <w:rsid w:val="0042035F"/>
    <w:rsid w:val="0042090C"/>
    <w:rsid w:val="00420E7A"/>
    <w:rsid w:val="00420ECD"/>
    <w:rsid w:val="004218F3"/>
    <w:rsid w:val="00421A17"/>
    <w:rsid w:val="00421A2B"/>
    <w:rsid w:val="00422145"/>
    <w:rsid w:val="00422923"/>
    <w:rsid w:val="00422DD0"/>
    <w:rsid w:val="0042390F"/>
    <w:rsid w:val="00423ECB"/>
    <w:rsid w:val="00424FB4"/>
    <w:rsid w:val="00425064"/>
    <w:rsid w:val="00425CF1"/>
    <w:rsid w:val="00426B4A"/>
    <w:rsid w:val="00426EF1"/>
    <w:rsid w:val="00427544"/>
    <w:rsid w:val="00427A7E"/>
    <w:rsid w:val="004304C3"/>
    <w:rsid w:val="00430774"/>
    <w:rsid w:val="00431162"/>
    <w:rsid w:val="00432171"/>
    <w:rsid w:val="00432374"/>
    <w:rsid w:val="00433159"/>
    <w:rsid w:val="0043386A"/>
    <w:rsid w:val="00433C99"/>
    <w:rsid w:val="0043523B"/>
    <w:rsid w:val="00435774"/>
    <w:rsid w:val="00435837"/>
    <w:rsid w:val="00435F2F"/>
    <w:rsid w:val="00436C04"/>
    <w:rsid w:val="00436E5F"/>
    <w:rsid w:val="0043704A"/>
    <w:rsid w:val="00437420"/>
    <w:rsid w:val="00437FC1"/>
    <w:rsid w:val="0044010F"/>
    <w:rsid w:val="00440AF9"/>
    <w:rsid w:val="00440B3A"/>
    <w:rsid w:val="00440D91"/>
    <w:rsid w:val="00440DCE"/>
    <w:rsid w:val="004412ED"/>
    <w:rsid w:val="0044169D"/>
    <w:rsid w:val="00441C3E"/>
    <w:rsid w:val="00441D5A"/>
    <w:rsid w:val="00441E14"/>
    <w:rsid w:val="00441E5C"/>
    <w:rsid w:val="00442D1B"/>
    <w:rsid w:val="0044324C"/>
    <w:rsid w:val="00443D51"/>
    <w:rsid w:val="00443EBB"/>
    <w:rsid w:val="0044418B"/>
    <w:rsid w:val="0044426C"/>
    <w:rsid w:val="0044428A"/>
    <w:rsid w:val="00444675"/>
    <w:rsid w:val="00444697"/>
    <w:rsid w:val="004448BD"/>
    <w:rsid w:val="00444E37"/>
    <w:rsid w:val="0044515C"/>
    <w:rsid w:val="00445ADA"/>
    <w:rsid w:val="00445B17"/>
    <w:rsid w:val="00445D66"/>
    <w:rsid w:val="00446AF0"/>
    <w:rsid w:val="00446F06"/>
    <w:rsid w:val="004470B1"/>
    <w:rsid w:val="004474A9"/>
    <w:rsid w:val="00447709"/>
    <w:rsid w:val="00447ACF"/>
    <w:rsid w:val="0045028C"/>
    <w:rsid w:val="00451008"/>
    <w:rsid w:val="004518F7"/>
    <w:rsid w:val="00451E75"/>
    <w:rsid w:val="00451EC4"/>
    <w:rsid w:val="0045236F"/>
    <w:rsid w:val="0045299C"/>
    <w:rsid w:val="00452B18"/>
    <w:rsid w:val="00453D05"/>
    <w:rsid w:val="004541DC"/>
    <w:rsid w:val="00454C68"/>
    <w:rsid w:val="00454F23"/>
    <w:rsid w:val="0045505F"/>
    <w:rsid w:val="004555C7"/>
    <w:rsid w:val="00455D4E"/>
    <w:rsid w:val="00455F2D"/>
    <w:rsid w:val="00456396"/>
    <w:rsid w:val="00456BEA"/>
    <w:rsid w:val="0045733F"/>
    <w:rsid w:val="00457785"/>
    <w:rsid w:val="00457A7D"/>
    <w:rsid w:val="00457B06"/>
    <w:rsid w:val="00457B44"/>
    <w:rsid w:val="0046019A"/>
    <w:rsid w:val="0046054E"/>
    <w:rsid w:val="004606EF"/>
    <w:rsid w:val="00461396"/>
    <w:rsid w:val="0046197A"/>
    <w:rsid w:val="00461CA5"/>
    <w:rsid w:val="00461CE4"/>
    <w:rsid w:val="00462621"/>
    <w:rsid w:val="00462B08"/>
    <w:rsid w:val="00463631"/>
    <w:rsid w:val="00463A31"/>
    <w:rsid w:val="00463B10"/>
    <w:rsid w:val="0046453F"/>
    <w:rsid w:val="004646D9"/>
    <w:rsid w:val="00464F63"/>
    <w:rsid w:val="004650C4"/>
    <w:rsid w:val="00465736"/>
    <w:rsid w:val="00466226"/>
    <w:rsid w:val="00466510"/>
    <w:rsid w:val="004669AD"/>
    <w:rsid w:val="00466A2C"/>
    <w:rsid w:val="00466A92"/>
    <w:rsid w:val="00466D50"/>
    <w:rsid w:val="00466F78"/>
    <w:rsid w:val="004675DA"/>
    <w:rsid w:val="004678D1"/>
    <w:rsid w:val="00467B01"/>
    <w:rsid w:val="00470702"/>
    <w:rsid w:val="00470C9B"/>
    <w:rsid w:val="0047196F"/>
    <w:rsid w:val="00471C78"/>
    <w:rsid w:val="004722DE"/>
    <w:rsid w:val="00472592"/>
    <w:rsid w:val="00472A73"/>
    <w:rsid w:val="00472C4C"/>
    <w:rsid w:val="0047317C"/>
    <w:rsid w:val="004732BE"/>
    <w:rsid w:val="004736BC"/>
    <w:rsid w:val="00473860"/>
    <w:rsid w:val="00473878"/>
    <w:rsid w:val="00473BE8"/>
    <w:rsid w:val="00473D94"/>
    <w:rsid w:val="0047402D"/>
    <w:rsid w:val="00474A40"/>
    <w:rsid w:val="00474A85"/>
    <w:rsid w:val="00474A8C"/>
    <w:rsid w:val="0047505B"/>
    <w:rsid w:val="00475686"/>
    <w:rsid w:val="00475744"/>
    <w:rsid w:val="0047577E"/>
    <w:rsid w:val="00475A1F"/>
    <w:rsid w:val="00475E49"/>
    <w:rsid w:val="00476294"/>
    <w:rsid w:val="00476440"/>
    <w:rsid w:val="004767DF"/>
    <w:rsid w:val="00476B5E"/>
    <w:rsid w:val="00476F09"/>
    <w:rsid w:val="004771DF"/>
    <w:rsid w:val="0047728D"/>
    <w:rsid w:val="00477310"/>
    <w:rsid w:val="00477A8A"/>
    <w:rsid w:val="00477CAD"/>
    <w:rsid w:val="00480120"/>
    <w:rsid w:val="00480915"/>
    <w:rsid w:val="00480DFD"/>
    <w:rsid w:val="00480F40"/>
    <w:rsid w:val="004812A7"/>
    <w:rsid w:val="004813A3"/>
    <w:rsid w:val="004817BA"/>
    <w:rsid w:val="00481BA5"/>
    <w:rsid w:val="00481E96"/>
    <w:rsid w:val="004820CE"/>
    <w:rsid w:val="0048210F"/>
    <w:rsid w:val="00482543"/>
    <w:rsid w:val="0048294F"/>
    <w:rsid w:val="00482BDC"/>
    <w:rsid w:val="004830F9"/>
    <w:rsid w:val="00483428"/>
    <w:rsid w:val="004841A9"/>
    <w:rsid w:val="00484891"/>
    <w:rsid w:val="00484BBF"/>
    <w:rsid w:val="00485364"/>
    <w:rsid w:val="0048563B"/>
    <w:rsid w:val="00486455"/>
    <w:rsid w:val="004866DD"/>
    <w:rsid w:val="0048796A"/>
    <w:rsid w:val="00487A22"/>
    <w:rsid w:val="00487AFB"/>
    <w:rsid w:val="00487D8D"/>
    <w:rsid w:val="0049075E"/>
    <w:rsid w:val="00490A38"/>
    <w:rsid w:val="00491E2F"/>
    <w:rsid w:val="004920F4"/>
    <w:rsid w:val="00492116"/>
    <w:rsid w:val="004929D3"/>
    <w:rsid w:val="00492F91"/>
    <w:rsid w:val="00493DD1"/>
    <w:rsid w:val="00494024"/>
    <w:rsid w:val="0049405C"/>
    <w:rsid w:val="00494354"/>
    <w:rsid w:val="00494636"/>
    <w:rsid w:val="00494DCA"/>
    <w:rsid w:val="00495BFD"/>
    <w:rsid w:val="00495F67"/>
    <w:rsid w:val="00495FD2"/>
    <w:rsid w:val="0049608F"/>
    <w:rsid w:val="00496F4A"/>
    <w:rsid w:val="004970C2"/>
    <w:rsid w:val="0049716D"/>
    <w:rsid w:val="004975CB"/>
    <w:rsid w:val="00497948"/>
    <w:rsid w:val="00497C98"/>
    <w:rsid w:val="004A0138"/>
    <w:rsid w:val="004A01B0"/>
    <w:rsid w:val="004A0554"/>
    <w:rsid w:val="004A095E"/>
    <w:rsid w:val="004A0DF2"/>
    <w:rsid w:val="004A135C"/>
    <w:rsid w:val="004A1BE9"/>
    <w:rsid w:val="004A2232"/>
    <w:rsid w:val="004A2674"/>
    <w:rsid w:val="004A269B"/>
    <w:rsid w:val="004A307D"/>
    <w:rsid w:val="004A34BA"/>
    <w:rsid w:val="004A36FD"/>
    <w:rsid w:val="004A3806"/>
    <w:rsid w:val="004A38AF"/>
    <w:rsid w:val="004A3A5A"/>
    <w:rsid w:val="004A3A72"/>
    <w:rsid w:val="004A3CC1"/>
    <w:rsid w:val="004A3F48"/>
    <w:rsid w:val="004A4806"/>
    <w:rsid w:val="004A5096"/>
    <w:rsid w:val="004A5C6A"/>
    <w:rsid w:val="004A6010"/>
    <w:rsid w:val="004A6073"/>
    <w:rsid w:val="004A6707"/>
    <w:rsid w:val="004A6710"/>
    <w:rsid w:val="004A6AF8"/>
    <w:rsid w:val="004A6D64"/>
    <w:rsid w:val="004B085C"/>
    <w:rsid w:val="004B0D78"/>
    <w:rsid w:val="004B16B9"/>
    <w:rsid w:val="004B174F"/>
    <w:rsid w:val="004B1CC4"/>
    <w:rsid w:val="004B1E32"/>
    <w:rsid w:val="004B1EE8"/>
    <w:rsid w:val="004B1FDA"/>
    <w:rsid w:val="004B201C"/>
    <w:rsid w:val="004B278D"/>
    <w:rsid w:val="004B27EC"/>
    <w:rsid w:val="004B2BD2"/>
    <w:rsid w:val="004B2D33"/>
    <w:rsid w:val="004B354F"/>
    <w:rsid w:val="004B3D77"/>
    <w:rsid w:val="004B4342"/>
    <w:rsid w:val="004B4666"/>
    <w:rsid w:val="004B521A"/>
    <w:rsid w:val="004B5342"/>
    <w:rsid w:val="004B554B"/>
    <w:rsid w:val="004B568B"/>
    <w:rsid w:val="004B58A5"/>
    <w:rsid w:val="004B5DF0"/>
    <w:rsid w:val="004B6067"/>
    <w:rsid w:val="004B629D"/>
    <w:rsid w:val="004B644A"/>
    <w:rsid w:val="004B676C"/>
    <w:rsid w:val="004B6D03"/>
    <w:rsid w:val="004B72A2"/>
    <w:rsid w:val="004B736A"/>
    <w:rsid w:val="004B73B8"/>
    <w:rsid w:val="004B7647"/>
    <w:rsid w:val="004B7742"/>
    <w:rsid w:val="004B786B"/>
    <w:rsid w:val="004C0595"/>
    <w:rsid w:val="004C0B96"/>
    <w:rsid w:val="004C0DA8"/>
    <w:rsid w:val="004C1183"/>
    <w:rsid w:val="004C1B4D"/>
    <w:rsid w:val="004C1F07"/>
    <w:rsid w:val="004C224A"/>
    <w:rsid w:val="004C2688"/>
    <w:rsid w:val="004C2A07"/>
    <w:rsid w:val="004C3308"/>
    <w:rsid w:val="004C33D7"/>
    <w:rsid w:val="004C3ACA"/>
    <w:rsid w:val="004C59E7"/>
    <w:rsid w:val="004C5E7F"/>
    <w:rsid w:val="004C60F2"/>
    <w:rsid w:val="004C62E1"/>
    <w:rsid w:val="004C650D"/>
    <w:rsid w:val="004C668C"/>
    <w:rsid w:val="004C6A3E"/>
    <w:rsid w:val="004C71B2"/>
    <w:rsid w:val="004C730E"/>
    <w:rsid w:val="004C75C1"/>
    <w:rsid w:val="004C7B00"/>
    <w:rsid w:val="004D02CF"/>
    <w:rsid w:val="004D05C5"/>
    <w:rsid w:val="004D074A"/>
    <w:rsid w:val="004D0769"/>
    <w:rsid w:val="004D0AD4"/>
    <w:rsid w:val="004D0BA4"/>
    <w:rsid w:val="004D0F1A"/>
    <w:rsid w:val="004D10BD"/>
    <w:rsid w:val="004D1503"/>
    <w:rsid w:val="004D1891"/>
    <w:rsid w:val="004D1A20"/>
    <w:rsid w:val="004D1CCB"/>
    <w:rsid w:val="004D1ECA"/>
    <w:rsid w:val="004D1FE7"/>
    <w:rsid w:val="004D237D"/>
    <w:rsid w:val="004D2ACF"/>
    <w:rsid w:val="004D3047"/>
    <w:rsid w:val="004D3094"/>
    <w:rsid w:val="004D3D43"/>
    <w:rsid w:val="004D42FA"/>
    <w:rsid w:val="004D478A"/>
    <w:rsid w:val="004D4F67"/>
    <w:rsid w:val="004D4FB4"/>
    <w:rsid w:val="004D5848"/>
    <w:rsid w:val="004D5FEE"/>
    <w:rsid w:val="004D6278"/>
    <w:rsid w:val="004D6E48"/>
    <w:rsid w:val="004D6FE3"/>
    <w:rsid w:val="004D75DB"/>
    <w:rsid w:val="004D7BAD"/>
    <w:rsid w:val="004E0737"/>
    <w:rsid w:val="004E0BAB"/>
    <w:rsid w:val="004E23EF"/>
    <w:rsid w:val="004E2E21"/>
    <w:rsid w:val="004E337C"/>
    <w:rsid w:val="004E3771"/>
    <w:rsid w:val="004E3B58"/>
    <w:rsid w:val="004E3F6B"/>
    <w:rsid w:val="004E583C"/>
    <w:rsid w:val="004E5887"/>
    <w:rsid w:val="004E58E4"/>
    <w:rsid w:val="004E78D5"/>
    <w:rsid w:val="004E7B7D"/>
    <w:rsid w:val="004F00FC"/>
    <w:rsid w:val="004F07B6"/>
    <w:rsid w:val="004F0DE4"/>
    <w:rsid w:val="004F0EAC"/>
    <w:rsid w:val="004F0ECA"/>
    <w:rsid w:val="004F19D5"/>
    <w:rsid w:val="004F1D38"/>
    <w:rsid w:val="004F1DCE"/>
    <w:rsid w:val="004F22F0"/>
    <w:rsid w:val="004F2A74"/>
    <w:rsid w:val="004F337B"/>
    <w:rsid w:val="004F38E5"/>
    <w:rsid w:val="004F3F0B"/>
    <w:rsid w:val="004F4613"/>
    <w:rsid w:val="004F4BF0"/>
    <w:rsid w:val="004F4F06"/>
    <w:rsid w:val="004F5A41"/>
    <w:rsid w:val="004F67EC"/>
    <w:rsid w:val="004F6C29"/>
    <w:rsid w:val="004F79B9"/>
    <w:rsid w:val="00500010"/>
    <w:rsid w:val="00500867"/>
    <w:rsid w:val="00500E45"/>
    <w:rsid w:val="00501DBB"/>
    <w:rsid w:val="0050203D"/>
    <w:rsid w:val="00502D47"/>
    <w:rsid w:val="00503499"/>
    <w:rsid w:val="00503BB2"/>
    <w:rsid w:val="00503EDE"/>
    <w:rsid w:val="00503F8F"/>
    <w:rsid w:val="005040FD"/>
    <w:rsid w:val="005043AD"/>
    <w:rsid w:val="00504793"/>
    <w:rsid w:val="00504FC6"/>
    <w:rsid w:val="00505606"/>
    <w:rsid w:val="005057BC"/>
    <w:rsid w:val="005058F8"/>
    <w:rsid w:val="00505C37"/>
    <w:rsid w:val="00505CFB"/>
    <w:rsid w:val="00505F67"/>
    <w:rsid w:val="005060F4"/>
    <w:rsid w:val="00506246"/>
    <w:rsid w:val="005066C1"/>
    <w:rsid w:val="00507107"/>
    <w:rsid w:val="005078CD"/>
    <w:rsid w:val="005079F3"/>
    <w:rsid w:val="00507B37"/>
    <w:rsid w:val="00507C7D"/>
    <w:rsid w:val="00507DED"/>
    <w:rsid w:val="00507EAA"/>
    <w:rsid w:val="00510010"/>
    <w:rsid w:val="0051047E"/>
    <w:rsid w:val="00510A40"/>
    <w:rsid w:val="00510D08"/>
    <w:rsid w:val="00510EE3"/>
    <w:rsid w:val="0051177D"/>
    <w:rsid w:val="00511AD9"/>
    <w:rsid w:val="005128D1"/>
    <w:rsid w:val="005129C4"/>
    <w:rsid w:val="00512B12"/>
    <w:rsid w:val="005137A7"/>
    <w:rsid w:val="00513EB5"/>
    <w:rsid w:val="0051424B"/>
    <w:rsid w:val="0051505B"/>
    <w:rsid w:val="0051530B"/>
    <w:rsid w:val="005155DE"/>
    <w:rsid w:val="00515BD8"/>
    <w:rsid w:val="00515EC3"/>
    <w:rsid w:val="00516467"/>
    <w:rsid w:val="00516564"/>
    <w:rsid w:val="00516AF1"/>
    <w:rsid w:val="0051736E"/>
    <w:rsid w:val="0051750B"/>
    <w:rsid w:val="00517B0F"/>
    <w:rsid w:val="00517D92"/>
    <w:rsid w:val="005205E8"/>
    <w:rsid w:val="005207D0"/>
    <w:rsid w:val="005209DE"/>
    <w:rsid w:val="00520C8F"/>
    <w:rsid w:val="00520D17"/>
    <w:rsid w:val="00521354"/>
    <w:rsid w:val="00521422"/>
    <w:rsid w:val="005214A5"/>
    <w:rsid w:val="005214DA"/>
    <w:rsid w:val="00521DBC"/>
    <w:rsid w:val="005225B0"/>
    <w:rsid w:val="00522C74"/>
    <w:rsid w:val="00522D58"/>
    <w:rsid w:val="00523602"/>
    <w:rsid w:val="0052391A"/>
    <w:rsid w:val="005239FD"/>
    <w:rsid w:val="00523CE0"/>
    <w:rsid w:val="0052425B"/>
    <w:rsid w:val="00524598"/>
    <w:rsid w:val="00524A26"/>
    <w:rsid w:val="00524B49"/>
    <w:rsid w:val="00524F66"/>
    <w:rsid w:val="005250B8"/>
    <w:rsid w:val="00526098"/>
    <w:rsid w:val="00526E88"/>
    <w:rsid w:val="00527DE2"/>
    <w:rsid w:val="0053007B"/>
    <w:rsid w:val="005301A7"/>
    <w:rsid w:val="005302C8"/>
    <w:rsid w:val="00530611"/>
    <w:rsid w:val="0053064A"/>
    <w:rsid w:val="0053077C"/>
    <w:rsid w:val="00531CD5"/>
    <w:rsid w:val="00531F11"/>
    <w:rsid w:val="0053225A"/>
    <w:rsid w:val="00532C0A"/>
    <w:rsid w:val="00532C8E"/>
    <w:rsid w:val="005332CF"/>
    <w:rsid w:val="00533D16"/>
    <w:rsid w:val="005341D6"/>
    <w:rsid w:val="0053474E"/>
    <w:rsid w:val="00535079"/>
    <w:rsid w:val="005352FC"/>
    <w:rsid w:val="005353AF"/>
    <w:rsid w:val="0053565A"/>
    <w:rsid w:val="00535906"/>
    <w:rsid w:val="005359B5"/>
    <w:rsid w:val="00535BE0"/>
    <w:rsid w:val="00535F07"/>
    <w:rsid w:val="00536CB7"/>
    <w:rsid w:val="005370CD"/>
    <w:rsid w:val="005370F3"/>
    <w:rsid w:val="00537223"/>
    <w:rsid w:val="005373D2"/>
    <w:rsid w:val="005378B3"/>
    <w:rsid w:val="00537945"/>
    <w:rsid w:val="00537954"/>
    <w:rsid w:val="00537E86"/>
    <w:rsid w:val="00540160"/>
    <w:rsid w:val="0054041C"/>
    <w:rsid w:val="005409DC"/>
    <w:rsid w:val="00540AF0"/>
    <w:rsid w:val="00540C5C"/>
    <w:rsid w:val="00540FCD"/>
    <w:rsid w:val="00541AB5"/>
    <w:rsid w:val="005421BE"/>
    <w:rsid w:val="0054227D"/>
    <w:rsid w:val="005430C3"/>
    <w:rsid w:val="005432A4"/>
    <w:rsid w:val="005437D3"/>
    <w:rsid w:val="00543DD2"/>
    <w:rsid w:val="0054402E"/>
    <w:rsid w:val="00544213"/>
    <w:rsid w:val="00544420"/>
    <w:rsid w:val="00544A92"/>
    <w:rsid w:val="00544E74"/>
    <w:rsid w:val="0054507C"/>
    <w:rsid w:val="0054605E"/>
    <w:rsid w:val="005463E2"/>
    <w:rsid w:val="005467A5"/>
    <w:rsid w:val="00546A09"/>
    <w:rsid w:val="00546C37"/>
    <w:rsid w:val="005476C0"/>
    <w:rsid w:val="00547BE9"/>
    <w:rsid w:val="00547D08"/>
    <w:rsid w:val="00547D0F"/>
    <w:rsid w:val="0055019E"/>
    <w:rsid w:val="005506DC"/>
    <w:rsid w:val="005507AC"/>
    <w:rsid w:val="00551434"/>
    <w:rsid w:val="00552B71"/>
    <w:rsid w:val="00552F89"/>
    <w:rsid w:val="005531C7"/>
    <w:rsid w:val="005538E4"/>
    <w:rsid w:val="00553924"/>
    <w:rsid w:val="00553A05"/>
    <w:rsid w:val="00553A10"/>
    <w:rsid w:val="005544C4"/>
    <w:rsid w:val="0055573B"/>
    <w:rsid w:val="00555916"/>
    <w:rsid w:val="00555F42"/>
    <w:rsid w:val="00556623"/>
    <w:rsid w:val="0055665A"/>
    <w:rsid w:val="00556D81"/>
    <w:rsid w:val="00557036"/>
    <w:rsid w:val="005579FB"/>
    <w:rsid w:val="0056018A"/>
    <w:rsid w:val="0056071C"/>
    <w:rsid w:val="0056100B"/>
    <w:rsid w:val="00561C10"/>
    <w:rsid w:val="00562222"/>
    <w:rsid w:val="005622C5"/>
    <w:rsid w:val="00562F83"/>
    <w:rsid w:val="005631BB"/>
    <w:rsid w:val="0056323E"/>
    <w:rsid w:val="0056376E"/>
    <w:rsid w:val="0056384D"/>
    <w:rsid w:val="00564B03"/>
    <w:rsid w:val="00565004"/>
    <w:rsid w:val="00565024"/>
    <w:rsid w:val="00565125"/>
    <w:rsid w:val="00565505"/>
    <w:rsid w:val="00565D0E"/>
    <w:rsid w:val="0056675C"/>
    <w:rsid w:val="00566E20"/>
    <w:rsid w:val="0056721F"/>
    <w:rsid w:val="0056752C"/>
    <w:rsid w:val="00567706"/>
    <w:rsid w:val="00567EB0"/>
    <w:rsid w:val="0057037E"/>
    <w:rsid w:val="00570D72"/>
    <w:rsid w:val="00571243"/>
    <w:rsid w:val="005714E8"/>
    <w:rsid w:val="00571ACD"/>
    <w:rsid w:val="00571D0B"/>
    <w:rsid w:val="005727DB"/>
    <w:rsid w:val="00572A7C"/>
    <w:rsid w:val="00572F68"/>
    <w:rsid w:val="00573750"/>
    <w:rsid w:val="00573BCF"/>
    <w:rsid w:val="00574168"/>
    <w:rsid w:val="005747B5"/>
    <w:rsid w:val="00574E09"/>
    <w:rsid w:val="00574FA6"/>
    <w:rsid w:val="005762A8"/>
    <w:rsid w:val="0057665F"/>
    <w:rsid w:val="00576A17"/>
    <w:rsid w:val="00576CFD"/>
    <w:rsid w:val="0057717D"/>
    <w:rsid w:val="00577A79"/>
    <w:rsid w:val="00577CB1"/>
    <w:rsid w:val="005800AB"/>
    <w:rsid w:val="005800E2"/>
    <w:rsid w:val="00580580"/>
    <w:rsid w:val="00580A7E"/>
    <w:rsid w:val="005811ED"/>
    <w:rsid w:val="00581325"/>
    <w:rsid w:val="00581674"/>
    <w:rsid w:val="005829D0"/>
    <w:rsid w:val="00582FF2"/>
    <w:rsid w:val="00583C6B"/>
    <w:rsid w:val="005848DA"/>
    <w:rsid w:val="00584E52"/>
    <w:rsid w:val="00584E66"/>
    <w:rsid w:val="00584E83"/>
    <w:rsid w:val="00586143"/>
    <w:rsid w:val="005863FE"/>
    <w:rsid w:val="0058649E"/>
    <w:rsid w:val="005864A5"/>
    <w:rsid w:val="00586679"/>
    <w:rsid w:val="00586F24"/>
    <w:rsid w:val="0058742C"/>
    <w:rsid w:val="005874EC"/>
    <w:rsid w:val="00587A29"/>
    <w:rsid w:val="00587AE3"/>
    <w:rsid w:val="00590260"/>
    <w:rsid w:val="00590F61"/>
    <w:rsid w:val="005910A7"/>
    <w:rsid w:val="00591BCF"/>
    <w:rsid w:val="00591C7F"/>
    <w:rsid w:val="00591D9E"/>
    <w:rsid w:val="005926BE"/>
    <w:rsid w:val="005929A6"/>
    <w:rsid w:val="00592D17"/>
    <w:rsid w:val="00592E26"/>
    <w:rsid w:val="00592FDB"/>
    <w:rsid w:val="00593875"/>
    <w:rsid w:val="00593B2F"/>
    <w:rsid w:val="00593D38"/>
    <w:rsid w:val="00593DB4"/>
    <w:rsid w:val="005942B0"/>
    <w:rsid w:val="00594C1A"/>
    <w:rsid w:val="00594F5D"/>
    <w:rsid w:val="00595606"/>
    <w:rsid w:val="00595B17"/>
    <w:rsid w:val="00595F0F"/>
    <w:rsid w:val="005966E9"/>
    <w:rsid w:val="00596713"/>
    <w:rsid w:val="00597483"/>
    <w:rsid w:val="005A02EA"/>
    <w:rsid w:val="005A0DE2"/>
    <w:rsid w:val="005A14B4"/>
    <w:rsid w:val="005A1E5E"/>
    <w:rsid w:val="005A1E88"/>
    <w:rsid w:val="005A244F"/>
    <w:rsid w:val="005A25CE"/>
    <w:rsid w:val="005A2B12"/>
    <w:rsid w:val="005A35D6"/>
    <w:rsid w:val="005A3AFB"/>
    <w:rsid w:val="005A5582"/>
    <w:rsid w:val="005A72F4"/>
    <w:rsid w:val="005A7463"/>
    <w:rsid w:val="005A75C0"/>
    <w:rsid w:val="005A7889"/>
    <w:rsid w:val="005A7953"/>
    <w:rsid w:val="005A7D18"/>
    <w:rsid w:val="005B0401"/>
    <w:rsid w:val="005B064D"/>
    <w:rsid w:val="005B0CB1"/>
    <w:rsid w:val="005B1C74"/>
    <w:rsid w:val="005B293F"/>
    <w:rsid w:val="005B2C3D"/>
    <w:rsid w:val="005B3171"/>
    <w:rsid w:val="005B3909"/>
    <w:rsid w:val="005B39D7"/>
    <w:rsid w:val="005B3D60"/>
    <w:rsid w:val="005B4177"/>
    <w:rsid w:val="005B44C0"/>
    <w:rsid w:val="005B480B"/>
    <w:rsid w:val="005B49E7"/>
    <w:rsid w:val="005B4A9D"/>
    <w:rsid w:val="005B4D01"/>
    <w:rsid w:val="005B5E5F"/>
    <w:rsid w:val="005B61F5"/>
    <w:rsid w:val="005B7AD7"/>
    <w:rsid w:val="005C07FF"/>
    <w:rsid w:val="005C0886"/>
    <w:rsid w:val="005C08F6"/>
    <w:rsid w:val="005C160F"/>
    <w:rsid w:val="005C1622"/>
    <w:rsid w:val="005C1DE0"/>
    <w:rsid w:val="005C23DF"/>
    <w:rsid w:val="005C249E"/>
    <w:rsid w:val="005C2579"/>
    <w:rsid w:val="005C2713"/>
    <w:rsid w:val="005C2777"/>
    <w:rsid w:val="005C2D03"/>
    <w:rsid w:val="005C2FEE"/>
    <w:rsid w:val="005C345C"/>
    <w:rsid w:val="005C36E3"/>
    <w:rsid w:val="005C3745"/>
    <w:rsid w:val="005C381F"/>
    <w:rsid w:val="005C386F"/>
    <w:rsid w:val="005C3D00"/>
    <w:rsid w:val="005C4097"/>
    <w:rsid w:val="005C42FD"/>
    <w:rsid w:val="005C4530"/>
    <w:rsid w:val="005C464F"/>
    <w:rsid w:val="005C48C9"/>
    <w:rsid w:val="005C5897"/>
    <w:rsid w:val="005C59CE"/>
    <w:rsid w:val="005C6011"/>
    <w:rsid w:val="005C6018"/>
    <w:rsid w:val="005C65F7"/>
    <w:rsid w:val="005D038D"/>
    <w:rsid w:val="005D0501"/>
    <w:rsid w:val="005D08C9"/>
    <w:rsid w:val="005D0F3A"/>
    <w:rsid w:val="005D116B"/>
    <w:rsid w:val="005D1773"/>
    <w:rsid w:val="005D1F71"/>
    <w:rsid w:val="005D2010"/>
    <w:rsid w:val="005D2AE8"/>
    <w:rsid w:val="005D3313"/>
    <w:rsid w:val="005D3476"/>
    <w:rsid w:val="005D3997"/>
    <w:rsid w:val="005D496A"/>
    <w:rsid w:val="005D4A16"/>
    <w:rsid w:val="005D4AB4"/>
    <w:rsid w:val="005D4C8C"/>
    <w:rsid w:val="005D5ABC"/>
    <w:rsid w:val="005D6278"/>
    <w:rsid w:val="005D6400"/>
    <w:rsid w:val="005D64D0"/>
    <w:rsid w:val="005D6C31"/>
    <w:rsid w:val="005D7233"/>
    <w:rsid w:val="005E0003"/>
    <w:rsid w:val="005E021A"/>
    <w:rsid w:val="005E0A40"/>
    <w:rsid w:val="005E0B35"/>
    <w:rsid w:val="005E0CF4"/>
    <w:rsid w:val="005E1980"/>
    <w:rsid w:val="005E1A2F"/>
    <w:rsid w:val="005E1DF7"/>
    <w:rsid w:val="005E21A4"/>
    <w:rsid w:val="005E228F"/>
    <w:rsid w:val="005E27EC"/>
    <w:rsid w:val="005E32DA"/>
    <w:rsid w:val="005E354A"/>
    <w:rsid w:val="005E3DE5"/>
    <w:rsid w:val="005E422F"/>
    <w:rsid w:val="005E4300"/>
    <w:rsid w:val="005E43F9"/>
    <w:rsid w:val="005E4830"/>
    <w:rsid w:val="005E4F83"/>
    <w:rsid w:val="005E500C"/>
    <w:rsid w:val="005E541A"/>
    <w:rsid w:val="005E54B9"/>
    <w:rsid w:val="005E54EF"/>
    <w:rsid w:val="005E6667"/>
    <w:rsid w:val="005E768C"/>
    <w:rsid w:val="005F05F9"/>
    <w:rsid w:val="005F0985"/>
    <w:rsid w:val="005F0E14"/>
    <w:rsid w:val="005F15D0"/>
    <w:rsid w:val="005F2170"/>
    <w:rsid w:val="005F2924"/>
    <w:rsid w:val="005F29A1"/>
    <w:rsid w:val="005F2D20"/>
    <w:rsid w:val="005F33B8"/>
    <w:rsid w:val="005F4379"/>
    <w:rsid w:val="005F438F"/>
    <w:rsid w:val="005F43C1"/>
    <w:rsid w:val="005F51AE"/>
    <w:rsid w:val="005F5488"/>
    <w:rsid w:val="005F57A5"/>
    <w:rsid w:val="005F5866"/>
    <w:rsid w:val="005F5ED7"/>
    <w:rsid w:val="005F649D"/>
    <w:rsid w:val="005F6A97"/>
    <w:rsid w:val="005F728B"/>
    <w:rsid w:val="005F75EE"/>
    <w:rsid w:val="005F785C"/>
    <w:rsid w:val="005F7CDE"/>
    <w:rsid w:val="005F7E82"/>
    <w:rsid w:val="0060096B"/>
    <w:rsid w:val="00601290"/>
    <w:rsid w:val="00601C42"/>
    <w:rsid w:val="00601EE4"/>
    <w:rsid w:val="006021C7"/>
    <w:rsid w:val="006021FF"/>
    <w:rsid w:val="0060286B"/>
    <w:rsid w:val="00602B13"/>
    <w:rsid w:val="006036A0"/>
    <w:rsid w:val="00603EF9"/>
    <w:rsid w:val="00604325"/>
    <w:rsid w:val="0060487F"/>
    <w:rsid w:val="00605651"/>
    <w:rsid w:val="006057E4"/>
    <w:rsid w:val="00605964"/>
    <w:rsid w:val="00605DE5"/>
    <w:rsid w:val="0060702E"/>
    <w:rsid w:val="006071D7"/>
    <w:rsid w:val="006074BA"/>
    <w:rsid w:val="00607672"/>
    <w:rsid w:val="00607E80"/>
    <w:rsid w:val="00607EAA"/>
    <w:rsid w:val="00607ECD"/>
    <w:rsid w:val="00610E62"/>
    <w:rsid w:val="00613B46"/>
    <w:rsid w:val="00613D20"/>
    <w:rsid w:val="006141A0"/>
    <w:rsid w:val="00614247"/>
    <w:rsid w:val="00614C79"/>
    <w:rsid w:val="00615867"/>
    <w:rsid w:val="00615E9C"/>
    <w:rsid w:val="00615FE0"/>
    <w:rsid w:val="0061664E"/>
    <w:rsid w:val="00616837"/>
    <w:rsid w:val="00620A9D"/>
    <w:rsid w:val="00621C94"/>
    <w:rsid w:val="00622BDC"/>
    <w:rsid w:val="00623107"/>
    <w:rsid w:val="00623648"/>
    <w:rsid w:val="00623D8F"/>
    <w:rsid w:val="0062447F"/>
    <w:rsid w:val="00624626"/>
    <w:rsid w:val="0062494E"/>
    <w:rsid w:val="006258B5"/>
    <w:rsid w:val="0062658C"/>
    <w:rsid w:val="00626A08"/>
    <w:rsid w:val="00626E11"/>
    <w:rsid w:val="00627BD3"/>
    <w:rsid w:val="00627C1D"/>
    <w:rsid w:val="0063060E"/>
    <w:rsid w:val="00630F01"/>
    <w:rsid w:val="00631024"/>
    <w:rsid w:val="00631400"/>
    <w:rsid w:val="00631780"/>
    <w:rsid w:val="006317CD"/>
    <w:rsid w:val="00631CFE"/>
    <w:rsid w:val="00632247"/>
    <w:rsid w:val="006329AC"/>
    <w:rsid w:val="00632CDB"/>
    <w:rsid w:val="00633772"/>
    <w:rsid w:val="00633991"/>
    <w:rsid w:val="00633C17"/>
    <w:rsid w:val="006340BC"/>
    <w:rsid w:val="006342AB"/>
    <w:rsid w:val="006349E4"/>
    <w:rsid w:val="00634C80"/>
    <w:rsid w:val="006368DB"/>
    <w:rsid w:val="00637337"/>
    <w:rsid w:val="0063768B"/>
    <w:rsid w:val="00637869"/>
    <w:rsid w:val="00637A68"/>
    <w:rsid w:val="00637A83"/>
    <w:rsid w:val="0064017D"/>
    <w:rsid w:val="00640387"/>
    <w:rsid w:val="00640B46"/>
    <w:rsid w:val="00640EAC"/>
    <w:rsid w:val="00641065"/>
    <w:rsid w:val="006412AB"/>
    <w:rsid w:val="0064155D"/>
    <w:rsid w:val="00641677"/>
    <w:rsid w:val="00641EA4"/>
    <w:rsid w:val="006420F4"/>
    <w:rsid w:val="00642275"/>
    <w:rsid w:val="006427FF"/>
    <w:rsid w:val="00642EEA"/>
    <w:rsid w:val="00643876"/>
    <w:rsid w:val="0064390D"/>
    <w:rsid w:val="00643BF3"/>
    <w:rsid w:val="00646119"/>
    <w:rsid w:val="00646841"/>
    <w:rsid w:val="00646A44"/>
    <w:rsid w:val="0064704E"/>
    <w:rsid w:val="00647222"/>
    <w:rsid w:val="0064725D"/>
    <w:rsid w:val="006473DA"/>
    <w:rsid w:val="006476FD"/>
    <w:rsid w:val="00647915"/>
    <w:rsid w:val="006479F2"/>
    <w:rsid w:val="00647AF5"/>
    <w:rsid w:val="00647C1D"/>
    <w:rsid w:val="00650059"/>
    <w:rsid w:val="006503A1"/>
    <w:rsid w:val="00650BCB"/>
    <w:rsid w:val="00650E2E"/>
    <w:rsid w:val="0065178B"/>
    <w:rsid w:val="00651B9F"/>
    <w:rsid w:val="00651C27"/>
    <w:rsid w:val="00651DD3"/>
    <w:rsid w:val="006525EF"/>
    <w:rsid w:val="00652B94"/>
    <w:rsid w:val="006537F8"/>
    <w:rsid w:val="0065386C"/>
    <w:rsid w:val="00653ECF"/>
    <w:rsid w:val="00654078"/>
    <w:rsid w:val="006540BC"/>
    <w:rsid w:val="006554EB"/>
    <w:rsid w:val="006555DE"/>
    <w:rsid w:val="006557BF"/>
    <w:rsid w:val="00655E12"/>
    <w:rsid w:val="00655E49"/>
    <w:rsid w:val="0065639A"/>
    <w:rsid w:val="006567C1"/>
    <w:rsid w:val="00656A9F"/>
    <w:rsid w:val="00656D4D"/>
    <w:rsid w:val="006575AE"/>
    <w:rsid w:val="00657615"/>
    <w:rsid w:val="00657835"/>
    <w:rsid w:val="006600E1"/>
    <w:rsid w:val="00660582"/>
    <w:rsid w:val="0066068E"/>
    <w:rsid w:val="006608C2"/>
    <w:rsid w:val="00660C65"/>
    <w:rsid w:val="006616BA"/>
    <w:rsid w:val="00661C44"/>
    <w:rsid w:val="00661C64"/>
    <w:rsid w:val="00661E39"/>
    <w:rsid w:val="0066202E"/>
    <w:rsid w:val="00662092"/>
    <w:rsid w:val="0066288B"/>
    <w:rsid w:val="00662DC9"/>
    <w:rsid w:val="00662E45"/>
    <w:rsid w:val="00663250"/>
    <w:rsid w:val="0066345E"/>
    <w:rsid w:val="00663861"/>
    <w:rsid w:val="00663CD6"/>
    <w:rsid w:val="00663DD6"/>
    <w:rsid w:val="00664463"/>
    <w:rsid w:val="00664693"/>
    <w:rsid w:val="00664924"/>
    <w:rsid w:val="00665398"/>
    <w:rsid w:val="006669D3"/>
    <w:rsid w:val="00667342"/>
    <w:rsid w:val="00667FDF"/>
    <w:rsid w:val="006709C0"/>
    <w:rsid w:val="00671704"/>
    <w:rsid w:val="00672977"/>
    <w:rsid w:val="0067321C"/>
    <w:rsid w:val="0067405A"/>
    <w:rsid w:val="00674667"/>
    <w:rsid w:val="006746D6"/>
    <w:rsid w:val="00674815"/>
    <w:rsid w:val="00675074"/>
    <w:rsid w:val="00675DD4"/>
    <w:rsid w:val="00676626"/>
    <w:rsid w:val="006766CC"/>
    <w:rsid w:val="00676D3B"/>
    <w:rsid w:val="00676D55"/>
    <w:rsid w:val="00677CA2"/>
    <w:rsid w:val="0068043C"/>
    <w:rsid w:val="00681591"/>
    <w:rsid w:val="00681DF9"/>
    <w:rsid w:val="00681ED9"/>
    <w:rsid w:val="00682606"/>
    <w:rsid w:val="00682836"/>
    <w:rsid w:val="00683107"/>
    <w:rsid w:val="006833BD"/>
    <w:rsid w:val="00683655"/>
    <w:rsid w:val="0068399C"/>
    <w:rsid w:val="00683A42"/>
    <w:rsid w:val="00683C41"/>
    <w:rsid w:val="00683D81"/>
    <w:rsid w:val="00685466"/>
    <w:rsid w:val="006858C5"/>
    <w:rsid w:val="00685BFC"/>
    <w:rsid w:val="006863FA"/>
    <w:rsid w:val="00686762"/>
    <w:rsid w:val="00686C85"/>
    <w:rsid w:val="00686D1F"/>
    <w:rsid w:val="00686FCF"/>
    <w:rsid w:val="0068717E"/>
    <w:rsid w:val="006874FF"/>
    <w:rsid w:val="0068793E"/>
    <w:rsid w:val="00687C09"/>
    <w:rsid w:val="006902E1"/>
    <w:rsid w:val="00690AEF"/>
    <w:rsid w:val="00690D15"/>
    <w:rsid w:val="00691127"/>
    <w:rsid w:val="00691BCE"/>
    <w:rsid w:val="00691D43"/>
    <w:rsid w:val="00691D45"/>
    <w:rsid w:val="006920E3"/>
    <w:rsid w:val="00692217"/>
    <w:rsid w:val="00692A78"/>
    <w:rsid w:val="00692F05"/>
    <w:rsid w:val="0069369E"/>
    <w:rsid w:val="00693E94"/>
    <w:rsid w:val="00694A23"/>
    <w:rsid w:val="00694AB4"/>
    <w:rsid w:val="00694C05"/>
    <w:rsid w:val="00695AC1"/>
    <w:rsid w:val="00695C6C"/>
    <w:rsid w:val="006961EF"/>
    <w:rsid w:val="0069680F"/>
    <w:rsid w:val="00696DB4"/>
    <w:rsid w:val="006975E3"/>
    <w:rsid w:val="00697838"/>
    <w:rsid w:val="006A01EE"/>
    <w:rsid w:val="006A04C9"/>
    <w:rsid w:val="006A0679"/>
    <w:rsid w:val="006A0A00"/>
    <w:rsid w:val="006A0F10"/>
    <w:rsid w:val="006A104D"/>
    <w:rsid w:val="006A1333"/>
    <w:rsid w:val="006A1893"/>
    <w:rsid w:val="006A190B"/>
    <w:rsid w:val="006A1B93"/>
    <w:rsid w:val="006A1CA4"/>
    <w:rsid w:val="006A2182"/>
    <w:rsid w:val="006A25BC"/>
    <w:rsid w:val="006A2C35"/>
    <w:rsid w:val="006A2D8D"/>
    <w:rsid w:val="006A38F2"/>
    <w:rsid w:val="006A3F9B"/>
    <w:rsid w:val="006A4C19"/>
    <w:rsid w:val="006A517A"/>
    <w:rsid w:val="006A5252"/>
    <w:rsid w:val="006A53B4"/>
    <w:rsid w:val="006A5F50"/>
    <w:rsid w:val="006A6152"/>
    <w:rsid w:val="006A6210"/>
    <w:rsid w:val="006A62CB"/>
    <w:rsid w:val="006A62FB"/>
    <w:rsid w:val="006A65BE"/>
    <w:rsid w:val="006A70A0"/>
    <w:rsid w:val="006A70B5"/>
    <w:rsid w:val="006A7106"/>
    <w:rsid w:val="006A73E7"/>
    <w:rsid w:val="006A76FA"/>
    <w:rsid w:val="006A7CD5"/>
    <w:rsid w:val="006A7D69"/>
    <w:rsid w:val="006B04CE"/>
    <w:rsid w:val="006B04DA"/>
    <w:rsid w:val="006B10DA"/>
    <w:rsid w:val="006B12BB"/>
    <w:rsid w:val="006B1809"/>
    <w:rsid w:val="006B2101"/>
    <w:rsid w:val="006B2434"/>
    <w:rsid w:val="006B2627"/>
    <w:rsid w:val="006B2661"/>
    <w:rsid w:val="006B3287"/>
    <w:rsid w:val="006B3508"/>
    <w:rsid w:val="006B452E"/>
    <w:rsid w:val="006B4893"/>
    <w:rsid w:val="006B4C62"/>
    <w:rsid w:val="006B5E2F"/>
    <w:rsid w:val="006B5F61"/>
    <w:rsid w:val="006B6171"/>
    <w:rsid w:val="006B658C"/>
    <w:rsid w:val="006B65C3"/>
    <w:rsid w:val="006B6610"/>
    <w:rsid w:val="006B663A"/>
    <w:rsid w:val="006B6CB0"/>
    <w:rsid w:val="006B6DB9"/>
    <w:rsid w:val="006B7891"/>
    <w:rsid w:val="006B78ED"/>
    <w:rsid w:val="006B7CB8"/>
    <w:rsid w:val="006B7F3B"/>
    <w:rsid w:val="006C047B"/>
    <w:rsid w:val="006C0910"/>
    <w:rsid w:val="006C0EEB"/>
    <w:rsid w:val="006C0F8A"/>
    <w:rsid w:val="006C1646"/>
    <w:rsid w:val="006C1B47"/>
    <w:rsid w:val="006C1B68"/>
    <w:rsid w:val="006C21C8"/>
    <w:rsid w:val="006C2A55"/>
    <w:rsid w:val="006C2F07"/>
    <w:rsid w:val="006C3B4D"/>
    <w:rsid w:val="006C3CCD"/>
    <w:rsid w:val="006C3EC4"/>
    <w:rsid w:val="006C4369"/>
    <w:rsid w:val="006C43FC"/>
    <w:rsid w:val="006C5573"/>
    <w:rsid w:val="006C6CF4"/>
    <w:rsid w:val="006C6FB2"/>
    <w:rsid w:val="006C718C"/>
    <w:rsid w:val="006C7B45"/>
    <w:rsid w:val="006C7C60"/>
    <w:rsid w:val="006D0B9E"/>
    <w:rsid w:val="006D1D70"/>
    <w:rsid w:val="006D2972"/>
    <w:rsid w:val="006D3542"/>
    <w:rsid w:val="006D39FC"/>
    <w:rsid w:val="006D3B2B"/>
    <w:rsid w:val="006D42A5"/>
    <w:rsid w:val="006D4D75"/>
    <w:rsid w:val="006D522D"/>
    <w:rsid w:val="006D540B"/>
    <w:rsid w:val="006D56E0"/>
    <w:rsid w:val="006D62D0"/>
    <w:rsid w:val="006D63A4"/>
    <w:rsid w:val="006D6A4A"/>
    <w:rsid w:val="006D6E65"/>
    <w:rsid w:val="006D6F33"/>
    <w:rsid w:val="006D7C8F"/>
    <w:rsid w:val="006D7D96"/>
    <w:rsid w:val="006D7E19"/>
    <w:rsid w:val="006E04C6"/>
    <w:rsid w:val="006E0C9A"/>
    <w:rsid w:val="006E0E41"/>
    <w:rsid w:val="006E16DF"/>
    <w:rsid w:val="006E26D9"/>
    <w:rsid w:val="006E2763"/>
    <w:rsid w:val="006E2D48"/>
    <w:rsid w:val="006E2EB1"/>
    <w:rsid w:val="006E3500"/>
    <w:rsid w:val="006E39A9"/>
    <w:rsid w:val="006E3DE8"/>
    <w:rsid w:val="006E3DF1"/>
    <w:rsid w:val="006E4450"/>
    <w:rsid w:val="006E5145"/>
    <w:rsid w:val="006E5EC6"/>
    <w:rsid w:val="006E6242"/>
    <w:rsid w:val="006E6665"/>
    <w:rsid w:val="006E670E"/>
    <w:rsid w:val="006E6934"/>
    <w:rsid w:val="006E6CE1"/>
    <w:rsid w:val="006E7BAA"/>
    <w:rsid w:val="006E7D47"/>
    <w:rsid w:val="006E7F17"/>
    <w:rsid w:val="006F01D8"/>
    <w:rsid w:val="006F0360"/>
    <w:rsid w:val="006F03B8"/>
    <w:rsid w:val="006F0CA2"/>
    <w:rsid w:val="006F0DA1"/>
    <w:rsid w:val="006F1465"/>
    <w:rsid w:val="006F15CF"/>
    <w:rsid w:val="006F1621"/>
    <w:rsid w:val="006F18AE"/>
    <w:rsid w:val="006F1B4F"/>
    <w:rsid w:val="006F1CDF"/>
    <w:rsid w:val="006F1FF7"/>
    <w:rsid w:val="006F22A5"/>
    <w:rsid w:val="006F23E8"/>
    <w:rsid w:val="006F276E"/>
    <w:rsid w:val="006F295E"/>
    <w:rsid w:val="006F326B"/>
    <w:rsid w:val="006F39A1"/>
    <w:rsid w:val="006F3FBD"/>
    <w:rsid w:val="006F4503"/>
    <w:rsid w:val="006F464C"/>
    <w:rsid w:val="006F47F0"/>
    <w:rsid w:val="006F4C09"/>
    <w:rsid w:val="006F4C6D"/>
    <w:rsid w:val="006F4C7F"/>
    <w:rsid w:val="006F4D4B"/>
    <w:rsid w:val="006F50CB"/>
    <w:rsid w:val="006F54AF"/>
    <w:rsid w:val="006F6207"/>
    <w:rsid w:val="006F6235"/>
    <w:rsid w:val="006F656E"/>
    <w:rsid w:val="006F66BD"/>
    <w:rsid w:val="006F683B"/>
    <w:rsid w:val="006F6901"/>
    <w:rsid w:val="006F6C31"/>
    <w:rsid w:val="006F6CCF"/>
    <w:rsid w:val="006F74E9"/>
    <w:rsid w:val="006F7C88"/>
    <w:rsid w:val="006F7FCA"/>
    <w:rsid w:val="00700E4C"/>
    <w:rsid w:val="0070104A"/>
    <w:rsid w:val="00701EB9"/>
    <w:rsid w:val="00702196"/>
    <w:rsid w:val="00702355"/>
    <w:rsid w:val="007025CB"/>
    <w:rsid w:val="00702BEB"/>
    <w:rsid w:val="007031A3"/>
    <w:rsid w:val="007035B4"/>
    <w:rsid w:val="00703AF6"/>
    <w:rsid w:val="00703F27"/>
    <w:rsid w:val="007045DE"/>
    <w:rsid w:val="0070525B"/>
    <w:rsid w:val="00706676"/>
    <w:rsid w:val="00706CDD"/>
    <w:rsid w:val="00706EF8"/>
    <w:rsid w:val="007073B3"/>
    <w:rsid w:val="007073DF"/>
    <w:rsid w:val="0070755A"/>
    <w:rsid w:val="0070778E"/>
    <w:rsid w:val="00707C04"/>
    <w:rsid w:val="00710015"/>
    <w:rsid w:val="0071056A"/>
    <w:rsid w:val="00710645"/>
    <w:rsid w:val="00710B8D"/>
    <w:rsid w:val="00710D37"/>
    <w:rsid w:val="00711323"/>
    <w:rsid w:val="00711389"/>
    <w:rsid w:val="007113FF"/>
    <w:rsid w:val="0071146D"/>
    <w:rsid w:val="0071180B"/>
    <w:rsid w:val="00711E8C"/>
    <w:rsid w:val="00712031"/>
    <w:rsid w:val="0071278E"/>
    <w:rsid w:val="00712CCB"/>
    <w:rsid w:val="00713245"/>
    <w:rsid w:val="007133EE"/>
    <w:rsid w:val="007136A9"/>
    <w:rsid w:val="007139F4"/>
    <w:rsid w:val="00713A59"/>
    <w:rsid w:val="007144B5"/>
    <w:rsid w:val="007144D3"/>
    <w:rsid w:val="00714703"/>
    <w:rsid w:val="00714D23"/>
    <w:rsid w:val="00714F7C"/>
    <w:rsid w:val="00715123"/>
    <w:rsid w:val="00715371"/>
    <w:rsid w:val="00715486"/>
    <w:rsid w:val="00715576"/>
    <w:rsid w:val="00715D06"/>
    <w:rsid w:val="00715FA7"/>
    <w:rsid w:val="00716186"/>
    <w:rsid w:val="00716975"/>
    <w:rsid w:val="007172BD"/>
    <w:rsid w:val="0071737A"/>
    <w:rsid w:val="00720084"/>
    <w:rsid w:val="00720651"/>
    <w:rsid w:val="00720DA8"/>
    <w:rsid w:val="00720DF1"/>
    <w:rsid w:val="00721D6A"/>
    <w:rsid w:val="00722167"/>
    <w:rsid w:val="0072236B"/>
    <w:rsid w:val="007228CE"/>
    <w:rsid w:val="007229A1"/>
    <w:rsid w:val="007232D8"/>
    <w:rsid w:val="00723A18"/>
    <w:rsid w:val="0072417E"/>
    <w:rsid w:val="007244A5"/>
    <w:rsid w:val="00724F8C"/>
    <w:rsid w:val="0072520D"/>
    <w:rsid w:val="00725314"/>
    <w:rsid w:val="007254F5"/>
    <w:rsid w:val="00725A05"/>
    <w:rsid w:val="00725E08"/>
    <w:rsid w:val="00725ED1"/>
    <w:rsid w:val="007261D5"/>
    <w:rsid w:val="00726767"/>
    <w:rsid w:val="00726B1B"/>
    <w:rsid w:val="00726CE5"/>
    <w:rsid w:val="00726F5E"/>
    <w:rsid w:val="007273A0"/>
    <w:rsid w:val="00727D2B"/>
    <w:rsid w:val="007308C3"/>
    <w:rsid w:val="00730A42"/>
    <w:rsid w:val="0073220D"/>
    <w:rsid w:val="00732C34"/>
    <w:rsid w:val="00733404"/>
    <w:rsid w:val="007335B0"/>
    <w:rsid w:val="00733BFA"/>
    <w:rsid w:val="00733C77"/>
    <w:rsid w:val="007340A9"/>
    <w:rsid w:val="007342D2"/>
    <w:rsid w:val="00734F80"/>
    <w:rsid w:val="007352C4"/>
    <w:rsid w:val="00735335"/>
    <w:rsid w:val="00735493"/>
    <w:rsid w:val="00735BFF"/>
    <w:rsid w:val="00735E34"/>
    <w:rsid w:val="00736041"/>
    <w:rsid w:val="0073612B"/>
    <w:rsid w:val="0073690B"/>
    <w:rsid w:val="00736C3C"/>
    <w:rsid w:val="00737158"/>
    <w:rsid w:val="00737725"/>
    <w:rsid w:val="007377CC"/>
    <w:rsid w:val="00740316"/>
    <w:rsid w:val="007404C5"/>
    <w:rsid w:val="00740537"/>
    <w:rsid w:val="0074060B"/>
    <w:rsid w:val="00741BEF"/>
    <w:rsid w:val="007428CE"/>
    <w:rsid w:val="00742C79"/>
    <w:rsid w:val="00742E30"/>
    <w:rsid w:val="00743129"/>
    <w:rsid w:val="007432E6"/>
    <w:rsid w:val="0074331F"/>
    <w:rsid w:val="00743339"/>
    <w:rsid w:val="007434AD"/>
    <w:rsid w:val="007434CC"/>
    <w:rsid w:val="0074355D"/>
    <w:rsid w:val="00743A2D"/>
    <w:rsid w:val="00743A90"/>
    <w:rsid w:val="00743B23"/>
    <w:rsid w:val="0074471C"/>
    <w:rsid w:val="0074498C"/>
    <w:rsid w:val="00744E6F"/>
    <w:rsid w:val="0074523D"/>
    <w:rsid w:val="00745974"/>
    <w:rsid w:val="00745C0F"/>
    <w:rsid w:val="007466EF"/>
    <w:rsid w:val="00746820"/>
    <w:rsid w:val="00746D3C"/>
    <w:rsid w:val="007470EA"/>
    <w:rsid w:val="00747F73"/>
    <w:rsid w:val="00751CAD"/>
    <w:rsid w:val="0075219B"/>
    <w:rsid w:val="0075241C"/>
    <w:rsid w:val="00752499"/>
    <w:rsid w:val="007525DD"/>
    <w:rsid w:val="007528CF"/>
    <w:rsid w:val="00753A2B"/>
    <w:rsid w:val="00753A4F"/>
    <w:rsid w:val="00753B58"/>
    <w:rsid w:val="0075462C"/>
    <w:rsid w:val="00754679"/>
    <w:rsid w:val="00754D98"/>
    <w:rsid w:val="007558F9"/>
    <w:rsid w:val="00755AA3"/>
    <w:rsid w:val="00755B12"/>
    <w:rsid w:val="007564CA"/>
    <w:rsid w:val="007569D4"/>
    <w:rsid w:val="00756D75"/>
    <w:rsid w:val="00756F12"/>
    <w:rsid w:val="00756F1B"/>
    <w:rsid w:val="00757390"/>
    <w:rsid w:val="0075743B"/>
    <w:rsid w:val="0075769A"/>
    <w:rsid w:val="00760070"/>
    <w:rsid w:val="00760420"/>
    <w:rsid w:val="00760618"/>
    <w:rsid w:val="00760931"/>
    <w:rsid w:val="00760B5F"/>
    <w:rsid w:val="00760D5A"/>
    <w:rsid w:val="00760ED4"/>
    <w:rsid w:val="00761948"/>
    <w:rsid w:val="00762702"/>
    <w:rsid w:val="00762C68"/>
    <w:rsid w:val="00762DAD"/>
    <w:rsid w:val="0076394B"/>
    <w:rsid w:val="00764010"/>
    <w:rsid w:val="0076420B"/>
    <w:rsid w:val="007643EC"/>
    <w:rsid w:val="00765603"/>
    <w:rsid w:val="007662A9"/>
    <w:rsid w:val="007664F6"/>
    <w:rsid w:val="0076709C"/>
    <w:rsid w:val="00767C71"/>
    <w:rsid w:val="00770186"/>
    <w:rsid w:val="007704DC"/>
    <w:rsid w:val="0077077E"/>
    <w:rsid w:val="00770C31"/>
    <w:rsid w:val="00770EF4"/>
    <w:rsid w:val="00770FE4"/>
    <w:rsid w:val="007718BE"/>
    <w:rsid w:val="00771C6C"/>
    <w:rsid w:val="0077217E"/>
    <w:rsid w:val="00773989"/>
    <w:rsid w:val="007743A2"/>
    <w:rsid w:val="007743E9"/>
    <w:rsid w:val="00774847"/>
    <w:rsid w:val="007749CB"/>
    <w:rsid w:val="00775886"/>
    <w:rsid w:val="00775D25"/>
    <w:rsid w:val="0077659D"/>
    <w:rsid w:val="007765E4"/>
    <w:rsid w:val="00776A4E"/>
    <w:rsid w:val="00776AF7"/>
    <w:rsid w:val="00776B97"/>
    <w:rsid w:val="00776E1C"/>
    <w:rsid w:val="00777091"/>
    <w:rsid w:val="00777B77"/>
    <w:rsid w:val="00777D0C"/>
    <w:rsid w:val="00777D47"/>
    <w:rsid w:val="00780678"/>
    <w:rsid w:val="007808D2"/>
    <w:rsid w:val="00780C5C"/>
    <w:rsid w:val="00780D98"/>
    <w:rsid w:val="0078108E"/>
    <w:rsid w:val="00782074"/>
    <w:rsid w:val="00782092"/>
    <w:rsid w:val="007821FB"/>
    <w:rsid w:val="007826D7"/>
    <w:rsid w:val="00782FEE"/>
    <w:rsid w:val="0078356A"/>
    <w:rsid w:val="00783C08"/>
    <w:rsid w:val="00783C4D"/>
    <w:rsid w:val="00783EA8"/>
    <w:rsid w:val="00784DF2"/>
    <w:rsid w:val="00784E76"/>
    <w:rsid w:val="00784F95"/>
    <w:rsid w:val="00785875"/>
    <w:rsid w:val="007859AD"/>
    <w:rsid w:val="00785BD2"/>
    <w:rsid w:val="0078617C"/>
    <w:rsid w:val="00786504"/>
    <w:rsid w:val="0078683A"/>
    <w:rsid w:val="00786EB4"/>
    <w:rsid w:val="00787108"/>
    <w:rsid w:val="00787152"/>
    <w:rsid w:val="00790915"/>
    <w:rsid w:val="007917CA"/>
    <w:rsid w:val="007918D5"/>
    <w:rsid w:val="0079221B"/>
    <w:rsid w:val="00792250"/>
    <w:rsid w:val="00792CF6"/>
    <w:rsid w:val="007934D6"/>
    <w:rsid w:val="007935B0"/>
    <w:rsid w:val="0079365A"/>
    <w:rsid w:val="00793797"/>
    <w:rsid w:val="00793A46"/>
    <w:rsid w:val="00793B11"/>
    <w:rsid w:val="00793B24"/>
    <w:rsid w:val="007940FC"/>
    <w:rsid w:val="007948C7"/>
    <w:rsid w:val="00794CC7"/>
    <w:rsid w:val="00794D94"/>
    <w:rsid w:val="007952A6"/>
    <w:rsid w:val="007952B8"/>
    <w:rsid w:val="007967E5"/>
    <w:rsid w:val="0079705B"/>
    <w:rsid w:val="0079714A"/>
    <w:rsid w:val="00797972"/>
    <w:rsid w:val="007A0155"/>
    <w:rsid w:val="007A02B2"/>
    <w:rsid w:val="007A16A5"/>
    <w:rsid w:val="007A1A5B"/>
    <w:rsid w:val="007A1EB1"/>
    <w:rsid w:val="007A1FD8"/>
    <w:rsid w:val="007A21B9"/>
    <w:rsid w:val="007A2D0E"/>
    <w:rsid w:val="007A36DD"/>
    <w:rsid w:val="007A39D1"/>
    <w:rsid w:val="007A3CE5"/>
    <w:rsid w:val="007A4730"/>
    <w:rsid w:val="007A4AD5"/>
    <w:rsid w:val="007A542B"/>
    <w:rsid w:val="007A577B"/>
    <w:rsid w:val="007A58C1"/>
    <w:rsid w:val="007A593A"/>
    <w:rsid w:val="007A5AA7"/>
    <w:rsid w:val="007A5D1B"/>
    <w:rsid w:val="007A6BBF"/>
    <w:rsid w:val="007A6E5A"/>
    <w:rsid w:val="007A70E6"/>
    <w:rsid w:val="007A7123"/>
    <w:rsid w:val="007A7500"/>
    <w:rsid w:val="007A7738"/>
    <w:rsid w:val="007B0113"/>
    <w:rsid w:val="007B0197"/>
    <w:rsid w:val="007B04C3"/>
    <w:rsid w:val="007B0A6D"/>
    <w:rsid w:val="007B0B0E"/>
    <w:rsid w:val="007B0BE8"/>
    <w:rsid w:val="007B1072"/>
    <w:rsid w:val="007B14E7"/>
    <w:rsid w:val="007B23BC"/>
    <w:rsid w:val="007B26EF"/>
    <w:rsid w:val="007B2A11"/>
    <w:rsid w:val="007B2BA9"/>
    <w:rsid w:val="007B31E2"/>
    <w:rsid w:val="007B32D4"/>
    <w:rsid w:val="007B34D6"/>
    <w:rsid w:val="007B3B7C"/>
    <w:rsid w:val="007B3F45"/>
    <w:rsid w:val="007B4329"/>
    <w:rsid w:val="007B44DD"/>
    <w:rsid w:val="007B4957"/>
    <w:rsid w:val="007B4D8F"/>
    <w:rsid w:val="007B4E15"/>
    <w:rsid w:val="007B4E8D"/>
    <w:rsid w:val="007B5556"/>
    <w:rsid w:val="007B5778"/>
    <w:rsid w:val="007B57F2"/>
    <w:rsid w:val="007B6802"/>
    <w:rsid w:val="007B6890"/>
    <w:rsid w:val="007B69D7"/>
    <w:rsid w:val="007B6D83"/>
    <w:rsid w:val="007B7162"/>
    <w:rsid w:val="007B794B"/>
    <w:rsid w:val="007C003E"/>
    <w:rsid w:val="007C076D"/>
    <w:rsid w:val="007C0DC9"/>
    <w:rsid w:val="007C0DE9"/>
    <w:rsid w:val="007C0E77"/>
    <w:rsid w:val="007C0F8E"/>
    <w:rsid w:val="007C12DB"/>
    <w:rsid w:val="007C13EF"/>
    <w:rsid w:val="007C15ED"/>
    <w:rsid w:val="007C16C0"/>
    <w:rsid w:val="007C19FA"/>
    <w:rsid w:val="007C217F"/>
    <w:rsid w:val="007C29F7"/>
    <w:rsid w:val="007C32DC"/>
    <w:rsid w:val="007C39C9"/>
    <w:rsid w:val="007C3D46"/>
    <w:rsid w:val="007C4193"/>
    <w:rsid w:val="007C4257"/>
    <w:rsid w:val="007C4358"/>
    <w:rsid w:val="007C4788"/>
    <w:rsid w:val="007C4DBB"/>
    <w:rsid w:val="007C5165"/>
    <w:rsid w:val="007C559C"/>
    <w:rsid w:val="007C60A4"/>
    <w:rsid w:val="007C7175"/>
    <w:rsid w:val="007C77C9"/>
    <w:rsid w:val="007C7FB7"/>
    <w:rsid w:val="007D01BE"/>
    <w:rsid w:val="007D04FB"/>
    <w:rsid w:val="007D0EA8"/>
    <w:rsid w:val="007D178D"/>
    <w:rsid w:val="007D1BDB"/>
    <w:rsid w:val="007D2578"/>
    <w:rsid w:val="007D2CE8"/>
    <w:rsid w:val="007D3346"/>
    <w:rsid w:val="007D371F"/>
    <w:rsid w:val="007D3778"/>
    <w:rsid w:val="007D4313"/>
    <w:rsid w:val="007D4897"/>
    <w:rsid w:val="007D4DB4"/>
    <w:rsid w:val="007D4EDE"/>
    <w:rsid w:val="007D4FDF"/>
    <w:rsid w:val="007D52AE"/>
    <w:rsid w:val="007D6491"/>
    <w:rsid w:val="007D6B91"/>
    <w:rsid w:val="007D6FE5"/>
    <w:rsid w:val="007D74DD"/>
    <w:rsid w:val="007D7741"/>
    <w:rsid w:val="007D79EF"/>
    <w:rsid w:val="007E096D"/>
    <w:rsid w:val="007E0B20"/>
    <w:rsid w:val="007E1446"/>
    <w:rsid w:val="007E1E52"/>
    <w:rsid w:val="007E351A"/>
    <w:rsid w:val="007E35E4"/>
    <w:rsid w:val="007E37AB"/>
    <w:rsid w:val="007E3A02"/>
    <w:rsid w:val="007E52B2"/>
    <w:rsid w:val="007E5E0E"/>
    <w:rsid w:val="007E601C"/>
    <w:rsid w:val="007E64B7"/>
    <w:rsid w:val="007E75C5"/>
    <w:rsid w:val="007E7FF3"/>
    <w:rsid w:val="007F00AC"/>
    <w:rsid w:val="007F023A"/>
    <w:rsid w:val="007F0671"/>
    <w:rsid w:val="007F0839"/>
    <w:rsid w:val="007F0FAD"/>
    <w:rsid w:val="007F2053"/>
    <w:rsid w:val="007F20F2"/>
    <w:rsid w:val="007F2589"/>
    <w:rsid w:val="007F25E8"/>
    <w:rsid w:val="007F29F4"/>
    <w:rsid w:val="007F30AC"/>
    <w:rsid w:val="007F31D7"/>
    <w:rsid w:val="007F338A"/>
    <w:rsid w:val="007F34D6"/>
    <w:rsid w:val="007F3BEA"/>
    <w:rsid w:val="007F3C6D"/>
    <w:rsid w:val="007F3D53"/>
    <w:rsid w:val="007F4CEF"/>
    <w:rsid w:val="007F5349"/>
    <w:rsid w:val="007F58CB"/>
    <w:rsid w:val="007F5B1C"/>
    <w:rsid w:val="007F6096"/>
    <w:rsid w:val="007F66B4"/>
    <w:rsid w:val="007F6D45"/>
    <w:rsid w:val="007F6D96"/>
    <w:rsid w:val="007F70B6"/>
    <w:rsid w:val="007F761C"/>
    <w:rsid w:val="007F7C09"/>
    <w:rsid w:val="007F7C95"/>
    <w:rsid w:val="008000EF"/>
    <w:rsid w:val="0080054A"/>
    <w:rsid w:val="00800603"/>
    <w:rsid w:val="008008A8"/>
    <w:rsid w:val="00801417"/>
    <w:rsid w:val="00802587"/>
    <w:rsid w:val="00802814"/>
    <w:rsid w:val="00802A81"/>
    <w:rsid w:val="00802AD8"/>
    <w:rsid w:val="008030C3"/>
    <w:rsid w:val="00803796"/>
    <w:rsid w:val="00803C7F"/>
    <w:rsid w:val="0080416F"/>
    <w:rsid w:val="008045F4"/>
    <w:rsid w:val="00804647"/>
    <w:rsid w:val="0080494D"/>
    <w:rsid w:val="00804D05"/>
    <w:rsid w:val="008050A5"/>
    <w:rsid w:val="0080528F"/>
    <w:rsid w:val="0080575B"/>
    <w:rsid w:val="00805D43"/>
    <w:rsid w:val="0080607E"/>
    <w:rsid w:val="00806863"/>
    <w:rsid w:val="008069B7"/>
    <w:rsid w:val="00806F41"/>
    <w:rsid w:val="008074A0"/>
    <w:rsid w:val="008079AF"/>
    <w:rsid w:val="00807A4F"/>
    <w:rsid w:val="00810644"/>
    <w:rsid w:val="008110C7"/>
    <w:rsid w:val="0081237E"/>
    <w:rsid w:val="00812DEC"/>
    <w:rsid w:val="0081308A"/>
    <w:rsid w:val="00813145"/>
    <w:rsid w:val="008142A2"/>
    <w:rsid w:val="0081517C"/>
    <w:rsid w:val="0081581B"/>
    <w:rsid w:val="00815D26"/>
    <w:rsid w:val="00816819"/>
    <w:rsid w:val="0081694B"/>
    <w:rsid w:val="00816B32"/>
    <w:rsid w:val="00816E9C"/>
    <w:rsid w:val="00817342"/>
    <w:rsid w:val="008173F1"/>
    <w:rsid w:val="0081763D"/>
    <w:rsid w:val="00817B6B"/>
    <w:rsid w:val="00817B8E"/>
    <w:rsid w:val="00820B5F"/>
    <w:rsid w:val="00820D8E"/>
    <w:rsid w:val="00821442"/>
    <w:rsid w:val="00821589"/>
    <w:rsid w:val="00821655"/>
    <w:rsid w:val="008219F3"/>
    <w:rsid w:val="00821A0A"/>
    <w:rsid w:val="00821AE9"/>
    <w:rsid w:val="00821CC5"/>
    <w:rsid w:val="008237AA"/>
    <w:rsid w:val="008239FD"/>
    <w:rsid w:val="00823DB2"/>
    <w:rsid w:val="00824033"/>
    <w:rsid w:val="00824DAD"/>
    <w:rsid w:val="00825750"/>
    <w:rsid w:val="00825C95"/>
    <w:rsid w:val="00825D5C"/>
    <w:rsid w:val="008265D3"/>
    <w:rsid w:val="008272C9"/>
    <w:rsid w:val="0082737C"/>
    <w:rsid w:val="0082768E"/>
    <w:rsid w:val="008276F1"/>
    <w:rsid w:val="00830918"/>
    <w:rsid w:val="00830C43"/>
    <w:rsid w:val="00830EE5"/>
    <w:rsid w:val="00830F5F"/>
    <w:rsid w:val="00831111"/>
    <w:rsid w:val="00831230"/>
    <w:rsid w:val="00831329"/>
    <w:rsid w:val="0083148D"/>
    <w:rsid w:val="0083179B"/>
    <w:rsid w:val="008319E0"/>
    <w:rsid w:val="00831F93"/>
    <w:rsid w:val="008326E5"/>
    <w:rsid w:val="00832B03"/>
    <w:rsid w:val="00832C3A"/>
    <w:rsid w:val="00832F91"/>
    <w:rsid w:val="008335C8"/>
    <w:rsid w:val="00833B7B"/>
    <w:rsid w:val="0083401D"/>
    <w:rsid w:val="0083481C"/>
    <w:rsid w:val="008348B1"/>
    <w:rsid w:val="00834C48"/>
    <w:rsid w:val="00834DEF"/>
    <w:rsid w:val="00835154"/>
    <w:rsid w:val="008354AB"/>
    <w:rsid w:val="008357AA"/>
    <w:rsid w:val="00835A92"/>
    <w:rsid w:val="00835E6D"/>
    <w:rsid w:val="00835E9F"/>
    <w:rsid w:val="00835F93"/>
    <w:rsid w:val="00837012"/>
    <w:rsid w:val="00837182"/>
    <w:rsid w:val="008376AD"/>
    <w:rsid w:val="00837E8A"/>
    <w:rsid w:val="00840452"/>
    <w:rsid w:val="008404E0"/>
    <w:rsid w:val="008409E8"/>
    <w:rsid w:val="008411B6"/>
    <w:rsid w:val="0084166A"/>
    <w:rsid w:val="00841BD1"/>
    <w:rsid w:val="00842170"/>
    <w:rsid w:val="0084299B"/>
    <w:rsid w:val="00843503"/>
    <w:rsid w:val="008438E1"/>
    <w:rsid w:val="008439DD"/>
    <w:rsid w:val="00843BA8"/>
    <w:rsid w:val="00843C1C"/>
    <w:rsid w:val="008444C8"/>
    <w:rsid w:val="008446A5"/>
    <w:rsid w:val="008448D9"/>
    <w:rsid w:val="00844B69"/>
    <w:rsid w:val="00844F52"/>
    <w:rsid w:val="0084507C"/>
    <w:rsid w:val="008453C9"/>
    <w:rsid w:val="00845699"/>
    <w:rsid w:val="0084589A"/>
    <w:rsid w:val="0084667D"/>
    <w:rsid w:val="00846A6C"/>
    <w:rsid w:val="00846A97"/>
    <w:rsid w:val="00846EDB"/>
    <w:rsid w:val="00847922"/>
    <w:rsid w:val="00847DE4"/>
    <w:rsid w:val="0085011B"/>
    <w:rsid w:val="008505B2"/>
    <w:rsid w:val="00850C8A"/>
    <w:rsid w:val="0085102F"/>
    <w:rsid w:val="008511AC"/>
    <w:rsid w:val="00851B1A"/>
    <w:rsid w:val="0085217D"/>
    <w:rsid w:val="008521CD"/>
    <w:rsid w:val="008521D0"/>
    <w:rsid w:val="00852A46"/>
    <w:rsid w:val="00854ABF"/>
    <w:rsid w:val="008552A6"/>
    <w:rsid w:val="008552D1"/>
    <w:rsid w:val="00855F24"/>
    <w:rsid w:val="008562EB"/>
    <w:rsid w:val="00856817"/>
    <w:rsid w:val="00857AA3"/>
    <w:rsid w:val="00857CFD"/>
    <w:rsid w:val="00860005"/>
    <w:rsid w:val="0086051F"/>
    <w:rsid w:val="0086146C"/>
    <w:rsid w:val="00861753"/>
    <w:rsid w:val="00861F93"/>
    <w:rsid w:val="00862006"/>
    <w:rsid w:val="0086202C"/>
    <w:rsid w:val="008620DF"/>
    <w:rsid w:val="0086224E"/>
    <w:rsid w:val="00862442"/>
    <w:rsid w:val="00862E3D"/>
    <w:rsid w:val="0086311A"/>
    <w:rsid w:val="00863877"/>
    <w:rsid w:val="00863A53"/>
    <w:rsid w:val="0086405B"/>
    <w:rsid w:val="008640EE"/>
    <w:rsid w:val="008643FC"/>
    <w:rsid w:val="00864B44"/>
    <w:rsid w:val="008655A3"/>
    <w:rsid w:val="00865B3A"/>
    <w:rsid w:val="00865B3D"/>
    <w:rsid w:val="00865C9C"/>
    <w:rsid w:val="00865CED"/>
    <w:rsid w:val="008669FF"/>
    <w:rsid w:val="00866A6C"/>
    <w:rsid w:val="00867A82"/>
    <w:rsid w:val="00870020"/>
    <w:rsid w:val="008701EE"/>
    <w:rsid w:val="00870C21"/>
    <w:rsid w:val="00871008"/>
    <w:rsid w:val="008712C0"/>
    <w:rsid w:val="008713E1"/>
    <w:rsid w:val="00871B0A"/>
    <w:rsid w:val="00871B89"/>
    <w:rsid w:val="00871BBD"/>
    <w:rsid w:val="00872020"/>
    <w:rsid w:val="008720F6"/>
    <w:rsid w:val="00872172"/>
    <w:rsid w:val="008723AC"/>
    <w:rsid w:val="00872C6D"/>
    <w:rsid w:val="0087344D"/>
    <w:rsid w:val="008737C9"/>
    <w:rsid w:val="008737D0"/>
    <w:rsid w:val="00874915"/>
    <w:rsid w:val="00874C8E"/>
    <w:rsid w:val="00875343"/>
    <w:rsid w:val="0087583C"/>
    <w:rsid w:val="008766FA"/>
    <w:rsid w:val="008772D5"/>
    <w:rsid w:val="00877BBA"/>
    <w:rsid w:val="00880670"/>
    <w:rsid w:val="008807C1"/>
    <w:rsid w:val="00881128"/>
    <w:rsid w:val="00881C50"/>
    <w:rsid w:val="00881D83"/>
    <w:rsid w:val="00881E2C"/>
    <w:rsid w:val="008828F9"/>
    <w:rsid w:val="00882C59"/>
    <w:rsid w:val="00882F3D"/>
    <w:rsid w:val="00882F49"/>
    <w:rsid w:val="00882FA5"/>
    <w:rsid w:val="008830B2"/>
    <w:rsid w:val="0088312C"/>
    <w:rsid w:val="00883771"/>
    <w:rsid w:val="00883885"/>
    <w:rsid w:val="008839C5"/>
    <w:rsid w:val="0088490F"/>
    <w:rsid w:val="00884A54"/>
    <w:rsid w:val="00885CEB"/>
    <w:rsid w:val="0088670D"/>
    <w:rsid w:val="00886D1A"/>
    <w:rsid w:val="00886F7B"/>
    <w:rsid w:val="008871BE"/>
    <w:rsid w:val="00887427"/>
    <w:rsid w:val="008875AC"/>
    <w:rsid w:val="00887C6F"/>
    <w:rsid w:val="00887FF1"/>
    <w:rsid w:val="00890B3A"/>
    <w:rsid w:val="00890FF5"/>
    <w:rsid w:val="008914D8"/>
    <w:rsid w:val="00891F86"/>
    <w:rsid w:val="00892111"/>
    <w:rsid w:val="00892211"/>
    <w:rsid w:val="00892554"/>
    <w:rsid w:val="00892CA7"/>
    <w:rsid w:val="008932D7"/>
    <w:rsid w:val="00893342"/>
    <w:rsid w:val="008934DF"/>
    <w:rsid w:val="0089372D"/>
    <w:rsid w:val="00893DAA"/>
    <w:rsid w:val="0089454C"/>
    <w:rsid w:val="008945BC"/>
    <w:rsid w:val="0089497A"/>
    <w:rsid w:val="008950F6"/>
    <w:rsid w:val="00895768"/>
    <w:rsid w:val="00895AE6"/>
    <w:rsid w:val="00895EE7"/>
    <w:rsid w:val="008961F4"/>
    <w:rsid w:val="008967B0"/>
    <w:rsid w:val="0089712E"/>
    <w:rsid w:val="008A03FA"/>
    <w:rsid w:val="008A0688"/>
    <w:rsid w:val="008A1545"/>
    <w:rsid w:val="008A1721"/>
    <w:rsid w:val="008A185A"/>
    <w:rsid w:val="008A2941"/>
    <w:rsid w:val="008A29EF"/>
    <w:rsid w:val="008A2C83"/>
    <w:rsid w:val="008A33A5"/>
    <w:rsid w:val="008A36E7"/>
    <w:rsid w:val="008A3DCF"/>
    <w:rsid w:val="008A4AE3"/>
    <w:rsid w:val="008A5080"/>
    <w:rsid w:val="008A532F"/>
    <w:rsid w:val="008A56EE"/>
    <w:rsid w:val="008A5EE7"/>
    <w:rsid w:val="008A5FD6"/>
    <w:rsid w:val="008A6137"/>
    <w:rsid w:val="008A63BD"/>
    <w:rsid w:val="008A6458"/>
    <w:rsid w:val="008A661A"/>
    <w:rsid w:val="008A679C"/>
    <w:rsid w:val="008A6DAE"/>
    <w:rsid w:val="008A7324"/>
    <w:rsid w:val="008A759D"/>
    <w:rsid w:val="008A7A0B"/>
    <w:rsid w:val="008A7A2B"/>
    <w:rsid w:val="008A7C98"/>
    <w:rsid w:val="008A7CD0"/>
    <w:rsid w:val="008A7E1A"/>
    <w:rsid w:val="008B056E"/>
    <w:rsid w:val="008B0A55"/>
    <w:rsid w:val="008B0B80"/>
    <w:rsid w:val="008B1B61"/>
    <w:rsid w:val="008B1E00"/>
    <w:rsid w:val="008B23B5"/>
    <w:rsid w:val="008B2539"/>
    <w:rsid w:val="008B2743"/>
    <w:rsid w:val="008B278E"/>
    <w:rsid w:val="008B2B7A"/>
    <w:rsid w:val="008B3346"/>
    <w:rsid w:val="008B3480"/>
    <w:rsid w:val="008B3607"/>
    <w:rsid w:val="008B3860"/>
    <w:rsid w:val="008B397A"/>
    <w:rsid w:val="008B3BB2"/>
    <w:rsid w:val="008B44BD"/>
    <w:rsid w:val="008B553C"/>
    <w:rsid w:val="008B5912"/>
    <w:rsid w:val="008B6049"/>
    <w:rsid w:val="008B60EC"/>
    <w:rsid w:val="008B6384"/>
    <w:rsid w:val="008B6595"/>
    <w:rsid w:val="008B67E9"/>
    <w:rsid w:val="008B6972"/>
    <w:rsid w:val="008B734B"/>
    <w:rsid w:val="008B7352"/>
    <w:rsid w:val="008C01E0"/>
    <w:rsid w:val="008C028A"/>
    <w:rsid w:val="008C05C8"/>
    <w:rsid w:val="008C0AA4"/>
    <w:rsid w:val="008C0AD6"/>
    <w:rsid w:val="008C0B18"/>
    <w:rsid w:val="008C0CEE"/>
    <w:rsid w:val="008C1988"/>
    <w:rsid w:val="008C212A"/>
    <w:rsid w:val="008C333E"/>
    <w:rsid w:val="008C38A7"/>
    <w:rsid w:val="008C38EC"/>
    <w:rsid w:val="008C4BB7"/>
    <w:rsid w:val="008C57EE"/>
    <w:rsid w:val="008C594C"/>
    <w:rsid w:val="008C5AC0"/>
    <w:rsid w:val="008C5B9B"/>
    <w:rsid w:val="008C6008"/>
    <w:rsid w:val="008C7A14"/>
    <w:rsid w:val="008D0329"/>
    <w:rsid w:val="008D1051"/>
    <w:rsid w:val="008D184F"/>
    <w:rsid w:val="008D1856"/>
    <w:rsid w:val="008D1F23"/>
    <w:rsid w:val="008D2698"/>
    <w:rsid w:val="008D2762"/>
    <w:rsid w:val="008D27C8"/>
    <w:rsid w:val="008D27DC"/>
    <w:rsid w:val="008D27FE"/>
    <w:rsid w:val="008D2A0F"/>
    <w:rsid w:val="008D2A91"/>
    <w:rsid w:val="008D2C7A"/>
    <w:rsid w:val="008D2FEA"/>
    <w:rsid w:val="008D348C"/>
    <w:rsid w:val="008D394A"/>
    <w:rsid w:val="008D39E5"/>
    <w:rsid w:val="008D3A64"/>
    <w:rsid w:val="008D3A94"/>
    <w:rsid w:val="008D4847"/>
    <w:rsid w:val="008D4C85"/>
    <w:rsid w:val="008D4DB2"/>
    <w:rsid w:val="008D5520"/>
    <w:rsid w:val="008D5F13"/>
    <w:rsid w:val="008D5FB8"/>
    <w:rsid w:val="008D60A9"/>
    <w:rsid w:val="008D66A0"/>
    <w:rsid w:val="008D681F"/>
    <w:rsid w:val="008D6A7E"/>
    <w:rsid w:val="008D6AC2"/>
    <w:rsid w:val="008D6D92"/>
    <w:rsid w:val="008D725A"/>
    <w:rsid w:val="008D73FF"/>
    <w:rsid w:val="008D76CE"/>
    <w:rsid w:val="008D7923"/>
    <w:rsid w:val="008D7C6A"/>
    <w:rsid w:val="008D7ECC"/>
    <w:rsid w:val="008E02D9"/>
    <w:rsid w:val="008E0354"/>
    <w:rsid w:val="008E04AD"/>
    <w:rsid w:val="008E05C2"/>
    <w:rsid w:val="008E0D25"/>
    <w:rsid w:val="008E0E05"/>
    <w:rsid w:val="008E0E24"/>
    <w:rsid w:val="008E121B"/>
    <w:rsid w:val="008E190F"/>
    <w:rsid w:val="008E1D91"/>
    <w:rsid w:val="008E214D"/>
    <w:rsid w:val="008E252C"/>
    <w:rsid w:val="008E2A2E"/>
    <w:rsid w:val="008E2D5C"/>
    <w:rsid w:val="008E3120"/>
    <w:rsid w:val="008E48DC"/>
    <w:rsid w:val="008E4A8E"/>
    <w:rsid w:val="008E4D57"/>
    <w:rsid w:val="008E510C"/>
    <w:rsid w:val="008E5EF1"/>
    <w:rsid w:val="008E5F3F"/>
    <w:rsid w:val="008E5F8A"/>
    <w:rsid w:val="008E5F8D"/>
    <w:rsid w:val="008E6023"/>
    <w:rsid w:val="008E678E"/>
    <w:rsid w:val="008E6BD4"/>
    <w:rsid w:val="008E6CF7"/>
    <w:rsid w:val="008E6D16"/>
    <w:rsid w:val="008E7245"/>
    <w:rsid w:val="008E73A5"/>
    <w:rsid w:val="008F098B"/>
    <w:rsid w:val="008F0B18"/>
    <w:rsid w:val="008F0D0D"/>
    <w:rsid w:val="008F1A65"/>
    <w:rsid w:val="008F1D1B"/>
    <w:rsid w:val="008F1EDF"/>
    <w:rsid w:val="008F1EEF"/>
    <w:rsid w:val="008F22AA"/>
    <w:rsid w:val="008F27E5"/>
    <w:rsid w:val="008F36D0"/>
    <w:rsid w:val="008F3F30"/>
    <w:rsid w:val="008F4AE7"/>
    <w:rsid w:val="008F4F07"/>
    <w:rsid w:val="008F4FBA"/>
    <w:rsid w:val="008F5204"/>
    <w:rsid w:val="008F52B8"/>
    <w:rsid w:val="008F5469"/>
    <w:rsid w:val="008F55A2"/>
    <w:rsid w:val="008F5665"/>
    <w:rsid w:val="008F600B"/>
    <w:rsid w:val="008F652A"/>
    <w:rsid w:val="008F66E7"/>
    <w:rsid w:val="008F7B7C"/>
    <w:rsid w:val="008F7DFD"/>
    <w:rsid w:val="0090000B"/>
    <w:rsid w:val="00900160"/>
    <w:rsid w:val="00900187"/>
    <w:rsid w:val="00900271"/>
    <w:rsid w:val="0090032E"/>
    <w:rsid w:val="009007AB"/>
    <w:rsid w:val="00900C32"/>
    <w:rsid w:val="00900C37"/>
    <w:rsid w:val="0090254A"/>
    <w:rsid w:val="0090353A"/>
    <w:rsid w:val="00903688"/>
    <w:rsid w:val="00903E0F"/>
    <w:rsid w:val="00904357"/>
    <w:rsid w:val="0090465C"/>
    <w:rsid w:val="00904670"/>
    <w:rsid w:val="009048DB"/>
    <w:rsid w:val="00904958"/>
    <w:rsid w:val="00904E6B"/>
    <w:rsid w:val="00905102"/>
    <w:rsid w:val="009053F5"/>
    <w:rsid w:val="009060A7"/>
    <w:rsid w:val="0090652A"/>
    <w:rsid w:val="00906A07"/>
    <w:rsid w:val="009070AF"/>
    <w:rsid w:val="00907399"/>
    <w:rsid w:val="009074F4"/>
    <w:rsid w:val="009075AF"/>
    <w:rsid w:val="009075EF"/>
    <w:rsid w:val="00907FEE"/>
    <w:rsid w:val="009100CF"/>
    <w:rsid w:val="00910267"/>
    <w:rsid w:val="00910429"/>
    <w:rsid w:val="009106C0"/>
    <w:rsid w:val="00910D8A"/>
    <w:rsid w:val="00910EAA"/>
    <w:rsid w:val="00911088"/>
    <w:rsid w:val="00912218"/>
    <w:rsid w:val="00912A63"/>
    <w:rsid w:val="00912C63"/>
    <w:rsid w:val="00913CC8"/>
    <w:rsid w:val="00914438"/>
    <w:rsid w:val="0091510D"/>
    <w:rsid w:val="00915439"/>
    <w:rsid w:val="00915B18"/>
    <w:rsid w:val="009161BA"/>
    <w:rsid w:val="009162ED"/>
    <w:rsid w:val="00916AB7"/>
    <w:rsid w:val="00916FB6"/>
    <w:rsid w:val="00917A80"/>
    <w:rsid w:val="0092013A"/>
    <w:rsid w:val="0092031F"/>
    <w:rsid w:val="0092043A"/>
    <w:rsid w:val="0092077D"/>
    <w:rsid w:val="00920CC1"/>
    <w:rsid w:val="00920E79"/>
    <w:rsid w:val="00921339"/>
    <w:rsid w:val="00921BA4"/>
    <w:rsid w:val="00922605"/>
    <w:rsid w:val="0092320A"/>
    <w:rsid w:val="00923BC4"/>
    <w:rsid w:val="00923EFF"/>
    <w:rsid w:val="0092413F"/>
    <w:rsid w:val="009248E8"/>
    <w:rsid w:val="00924DCC"/>
    <w:rsid w:val="00925471"/>
    <w:rsid w:val="0092600F"/>
    <w:rsid w:val="00926829"/>
    <w:rsid w:val="0092727D"/>
    <w:rsid w:val="00927937"/>
    <w:rsid w:val="00927E83"/>
    <w:rsid w:val="00930097"/>
    <w:rsid w:val="009302F8"/>
    <w:rsid w:val="009306FF"/>
    <w:rsid w:val="00931DE3"/>
    <w:rsid w:val="00932D7B"/>
    <w:rsid w:val="009330C1"/>
    <w:rsid w:val="00933795"/>
    <w:rsid w:val="00933A15"/>
    <w:rsid w:val="00933EA1"/>
    <w:rsid w:val="0093404F"/>
    <w:rsid w:val="00934630"/>
    <w:rsid w:val="009346AB"/>
    <w:rsid w:val="00934AC7"/>
    <w:rsid w:val="00934B35"/>
    <w:rsid w:val="00934E2D"/>
    <w:rsid w:val="00934FE5"/>
    <w:rsid w:val="00935051"/>
    <w:rsid w:val="0093505E"/>
    <w:rsid w:val="00935143"/>
    <w:rsid w:val="0093530F"/>
    <w:rsid w:val="009358B2"/>
    <w:rsid w:val="00935FA3"/>
    <w:rsid w:val="00936C6F"/>
    <w:rsid w:val="009374E0"/>
    <w:rsid w:val="0094029A"/>
    <w:rsid w:val="0094061F"/>
    <w:rsid w:val="0094158E"/>
    <w:rsid w:val="00942753"/>
    <w:rsid w:val="009428E3"/>
    <w:rsid w:val="0094292F"/>
    <w:rsid w:val="00943692"/>
    <w:rsid w:val="009437EF"/>
    <w:rsid w:val="00944093"/>
    <w:rsid w:val="0094494B"/>
    <w:rsid w:val="00944AA9"/>
    <w:rsid w:val="00944F20"/>
    <w:rsid w:val="00946453"/>
    <w:rsid w:val="00946776"/>
    <w:rsid w:val="00946EA9"/>
    <w:rsid w:val="0094770B"/>
    <w:rsid w:val="00947DCB"/>
    <w:rsid w:val="00950C3A"/>
    <w:rsid w:val="00950DCB"/>
    <w:rsid w:val="0095200E"/>
    <w:rsid w:val="00952549"/>
    <w:rsid w:val="00953B53"/>
    <w:rsid w:val="00953CBD"/>
    <w:rsid w:val="009549AC"/>
    <w:rsid w:val="00954B42"/>
    <w:rsid w:val="00954C7E"/>
    <w:rsid w:val="0095507D"/>
    <w:rsid w:val="00955907"/>
    <w:rsid w:val="00956804"/>
    <w:rsid w:val="0095725D"/>
    <w:rsid w:val="00957375"/>
    <w:rsid w:val="0095738D"/>
    <w:rsid w:val="009607B3"/>
    <w:rsid w:val="00960CB3"/>
    <w:rsid w:val="009612C7"/>
    <w:rsid w:val="0096293A"/>
    <w:rsid w:val="009629AA"/>
    <w:rsid w:val="00963287"/>
    <w:rsid w:val="009637C5"/>
    <w:rsid w:val="00964C9E"/>
    <w:rsid w:val="00965384"/>
    <w:rsid w:val="00965B1E"/>
    <w:rsid w:val="00966475"/>
    <w:rsid w:val="00966639"/>
    <w:rsid w:val="00966804"/>
    <w:rsid w:val="00966B85"/>
    <w:rsid w:val="00966FB1"/>
    <w:rsid w:val="00967555"/>
    <w:rsid w:val="00967AE7"/>
    <w:rsid w:val="00967FFD"/>
    <w:rsid w:val="009703D5"/>
    <w:rsid w:val="0097123B"/>
    <w:rsid w:val="00971AAB"/>
    <w:rsid w:val="00971ADF"/>
    <w:rsid w:val="009722DA"/>
    <w:rsid w:val="00972D36"/>
    <w:rsid w:val="0097342B"/>
    <w:rsid w:val="00973654"/>
    <w:rsid w:val="00973BDA"/>
    <w:rsid w:val="00973CC5"/>
    <w:rsid w:val="00973D85"/>
    <w:rsid w:val="00973FCC"/>
    <w:rsid w:val="009744FC"/>
    <w:rsid w:val="009745B5"/>
    <w:rsid w:val="00975062"/>
    <w:rsid w:val="00975694"/>
    <w:rsid w:val="00975856"/>
    <w:rsid w:val="00975885"/>
    <w:rsid w:val="00975D81"/>
    <w:rsid w:val="00975D8B"/>
    <w:rsid w:val="009762E8"/>
    <w:rsid w:val="00976682"/>
    <w:rsid w:val="009769E8"/>
    <w:rsid w:val="0097706E"/>
    <w:rsid w:val="009770B6"/>
    <w:rsid w:val="009771F0"/>
    <w:rsid w:val="009773F3"/>
    <w:rsid w:val="00977592"/>
    <w:rsid w:val="00977652"/>
    <w:rsid w:val="009776F5"/>
    <w:rsid w:val="0097793A"/>
    <w:rsid w:val="00977E02"/>
    <w:rsid w:val="00980240"/>
    <w:rsid w:val="00980CC0"/>
    <w:rsid w:val="00980D2A"/>
    <w:rsid w:val="009810C8"/>
    <w:rsid w:val="0098112B"/>
    <w:rsid w:val="009816C3"/>
    <w:rsid w:val="00981BFD"/>
    <w:rsid w:val="00982C84"/>
    <w:rsid w:val="00982D33"/>
    <w:rsid w:val="009833BC"/>
    <w:rsid w:val="00983C0E"/>
    <w:rsid w:val="0098408F"/>
    <w:rsid w:val="00984762"/>
    <w:rsid w:val="009859B7"/>
    <w:rsid w:val="00985A2E"/>
    <w:rsid w:val="00985AE4"/>
    <w:rsid w:val="0098657A"/>
    <w:rsid w:val="00986758"/>
    <w:rsid w:val="009867FF"/>
    <w:rsid w:val="00986A4A"/>
    <w:rsid w:val="0098719D"/>
    <w:rsid w:val="00987789"/>
    <w:rsid w:val="00987B3E"/>
    <w:rsid w:val="00987B80"/>
    <w:rsid w:val="00987BC7"/>
    <w:rsid w:val="0099017C"/>
    <w:rsid w:val="00991320"/>
    <w:rsid w:val="00991FD1"/>
    <w:rsid w:val="00992B83"/>
    <w:rsid w:val="009932AE"/>
    <w:rsid w:val="00993AB2"/>
    <w:rsid w:val="00993CE1"/>
    <w:rsid w:val="00993EAE"/>
    <w:rsid w:val="00994206"/>
    <w:rsid w:val="00994499"/>
    <w:rsid w:val="00994D9D"/>
    <w:rsid w:val="00995282"/>
    <w:rsid w:val="00995D63"/>
    <w:rsid w:val="00995E51"/>
    <w:rsid w:val="0099602A"/>
    <w:rsid w:val="00996300"/>
    <w:rsid w:val="00996405"/>
    <w:rsid w:val="00996E52"/>
    <w:rsid w:val="00996E7E"/>
    <w:rsid w:val="009A06E2"/>
    <w:rsid w:val="009A0B93"/>
    <w:rsid w:val="009A0D7F"/>
    <w:rsid w:val="009A0E08"/>
    <w:rsid w:val="009A0ED3"/>
    <w:rsid w:val="009A0F0D"/>
    <w:rsid w:val="009A2289"/>
    <w:rsid w:val="009A26B1"/>
    <w:rsid w:val="009A3229"/>
    <w:rsid w:val="009A3403"/>
    <w:rsid w:val="009A3CFA"/>
    <w:rsid w:val="009A4647"/>
    <w:rsid w:val="009A4F4B"/>
    <w:rsid w:val="009A5103"/>
    <w:rsid w:val="009A53B4"/>
    <w:rsid w:val="009A627C"/>
    <w:rsid w:val="009A6A8D"/>
    <w:rsid w:val="009A6D53"/>
    <w:rsid w:val="009A6E64"/>
    <w:rsid w:val="009A7576"/>
    <w:rsid w:val="009A7893"/>
    <w:rsid w:val="009A7CFB"/>
    <w:rsid w:val="009B0209"/>
    <w:rsid w:val="009B0431"/>
    <w:rsid w:val="009B1A61"/>
    <w:rsid w:val="009B286E"/>
    <w:rsid w:val="009B30AC"/>
    <w:rsid w:val="009B3136"/>
    <w:rsid w:val="009B3701"/>
    <w:rsid w:val="009B3751"/>
    <w:rsid w:val="009B3ED2"/>
    <w:rsid w:val="009B3EFB"/>
    <w:rsid w:val="009B4561"/>
    <w:rsid w:val="009B4D78"/>
    <w:rsid w:val="009B507C"/>
    <w:rsid w:val="009B5A66"/>
    <w:rsid w:val="009B6974"/>
    <w:rsid w:val="009B76AE"/>
    <w:rsid w:val="009B78BC"/>
    <w:rsid w:val="009B7D58"/>
    <w:rsid w:val="009B7D8D"/>
    <w:rsid w:val="009C0077"/>
    <w:rsid w:val="009C01FF"/>
    <w:rsid w:val="009C0C60"/>
    <w:rsid w:val="009C1681"/>
    <w:rsid w:val="009C18D0"/>
    <w:rsid w:val="009C1D4B"/>
    <w:rsid w:val="009C1E93"/>
    <w:rsid w:val="009C1E9F"/>
    <w:rsid w:val="009C219C"/>
    <w:rsid w:val="009C317F"/>
    <w:rsid w:val="009C3304"/>
    <w:rsid w:val="009C3494"/>
    <w:rsid w:val="009C34C5"/>
    <w:rsid w:val="009C41D2"/>
    <w:rsid w:val="009C436C"/>
    <w:rsid w:val="009C4704"/>
    <w:rsid w:val="009C48B9"/>
    <w:rsid w:val="009C589D"/>
    <w:rsid w:val="009C5E55"/>
    <w:rsid w:val="009C6449"/>
    <w:rsid w:val="009C6891"/>
    <w:rsid w:val="009C72F2"/>
    <w:rsid w:val="009C7721"/>
    <w:rsid w:val="009C7FFD"/>
    <w:rsid w:val="009D0E1A"/>
    <w:rsid w:val="009D0FF2"/>
    <w:rsid w:val="009D13C2"/>
    <w:rsid w:val="009D1C2C"/>
    <w:rsid w:val="009D1C4B"/>
    <w:rsid w:val="009D20D4"/>
    <w:rsid w:val="009D27F0"/>
    <w:rsid w:val="009D2D8E"/>
    <w:rsid w:val="009D317E"/>
    <w:rsid w:val="009D39EC"/>
    <w:rsid w:val="009D3AF5"/>
    <w:rsid w:val="009D3BA7"/>
    <w:rsid w:val="009D3BC7"/>
    <w:rsid w:val="009D3C07"/>
    <w:rsid w:val="009D45AA"/>
    <w:rsid w:val="009D4D30"/>
    <w:rsid w:val="009D5150"/>
    <w:rsid w:val="009D57E8"/>
    <w:rsid w:val="009D5BD1"/>
    <w:rsid w:val="009D66F0"/>
    <w:rsid w:val="009D6A66"/>
    <w:rsid w:val="009D6E1B"/>
    <w:rsid w:val="009D754C"/>
    <w:rsid w:val="009D799A"/>
    <w:rsid w:val="009D7B2A"/>
    <w:rsid w:val="009D7E81"/>
    <w:rsid w:val="009D7EE2"/>
    <w:rsid w:val="009E02CF"/>
    <w:rsid w:val="009E075C"/>
    <w:rsid w:val="009E0E6A"/>
    <w:rsid w:val="009E1069"/>
    <w:rsid w:val="009E1887"/>
    <w:rsid w:val="009E240A"/>
    <w:rsid w:val="009E25F3"/>
    <w:rsid w:val="009E2F9A"/>
    <w:rsid w:val="009E337D"/>
    <w:rsid w:val="009E3D3E"/>
    <w:rsid w:val="009E3DC7"/>
    <w:rsid w:val="009E4ADC"/>
    <w:rsid w:val="009E4CBB"/>
    <w:rsid w:val="009E506F"/>
    <w:rsid w:val="009E68CB"/>
    <w:rsid w:val="009E6A87"/>
    <w:rsid w:val="009E6CAC"/>
    <w:rsid w:val="009E6FA8"/>
    <w:rsid w:val="009E7019"/>
    <w:rsid w:val="009E74FB"/>
    <w:rsid w:val="009E7673"/>
    <w:rsid w:val="009E7943"/>
    <w:rsid w:val="009F009C"/>
    <w:rsid w:val="009F0272"/>
    <w:rsid w:val="009F032E"/>
    <w:rsid w:val="009F0547"/>
    <w:rsid w:val="009F086B"/>
    <w:rsid w:val="009F0B8A"/>
    <w:rsid w:val="009F0C0D"/>
    <w:rsid w:val="009F19AB"/>
    <w:rsid w:val="009F1C38"/>
    <w:rsid w:val="009F1D4F"/>
    <w:rsid w:val="009F1D9B"/>
    <w:rsid w:val="009F20C0"/>
    <w:rsid w:val="009F21E8"/>
    <w:rsid w:val="009F2897"/>
    <w:rsid w:val="009F3CC9"/>
    <w:rsid w:val="009F3D24"/>
    <w:rsid w:val="009F4094"/>
    <w:rsid w:val="009F49C1"/>
    <w:rsid w:val="009F4E95"/>
    <w:rsid w:val="009F63D6"/>
    <w:rsid w:val="009F6543"/>
    <w:rsid w:val="009F6870"/>
    <w:rsid w:val="009F7246"/>
    <w:rsid w:val="009F797D"/>
    <w:rsid w:val="009F7EF1"/>
    <w:rsid w:val="00A00980"/>
    <w:rsid w:val="00A009F7"/>
    <w:rsid w:val="00A00E8D"/>
    <w:rsid w:val="00A01826"/>
    <w:rsid w:val="00A01A4B"/>
    <w:rsid w:val="00A01D9D"/>
    <w:rsid w:val="00A022AF"/>
    <w:rsid w:val="00A036ED"/>
    <w:rsid w:val="00A03899"/>
    <w:rsid w:val="00A03A2C"/>
    <w:rsid w:val="00A03EB9"/>
    <w:rsid w:val="00A03F2F"/>
    <w:rsid w:val="00A041E9"/>
    <w:rsid w:val="00A0500A"/>
    <w:rsid w:val="00A06163"/>
    <w:rsid w:val="00A062F2"/>
    <w:rsid w:val="00A064AC"/>
    <w:rsid w:val="00A07160"/>
    <w:rsid w:val="00A108B7"/>
    <w:rsid w:val="00A10C13"/>
    <w:rsid w:val="00A11251"/>
    <w:rsid w:val="00A11316"/>
    <w:rsid w:val="00A1184C"/>
    <w:rsid w:val="00A129A1"/>
    <w:rsid w:val="00A138DA"/>
    <w:rsid w:val="00A14348"/>
    <w:rsid w:val="00A14A90"/>
    <w:rsid w:val="00A14DB8"/>
    <w:rsid w:val="00A153A2"/>
    <w:rsid w:val="00A1572F"/>
    <w:rsid w:val="00A15A28"/>
    <w:rsid w:val="00A15EC3"/>
    <w:rsid w:val="00A16825"/>
    <w:rsid w:val="00A16A4B"/>
    <w:rsid w:val="00A16DC0"/>
    <w:rsid w:val="00A17870"/>
    <w:rsid w:val="00A20923"/>
    <w:rsid w:val="00A20DB7"/>
    <w:rsid w:val="00A20F2F"/>
    <w:rsid w:val="00A21061"/>
    <w:rsid w:val="00A216E8"/>
    <w:rsid w:val="00A21E88"/>
    <w:rsid w:val="00A21F0B"/>
    <w:rsid w:val="00A2205E"/>
    <w:rsid w:val="00A22715"/>
    <w:rsid w:val="00A22770"/>
    <w:rsid w:val="00A22D86"/>
    <w:rsid w:val="00A2479A"/>
    <w:rsid w:val="00A24D92"/>
    <w:rsid w:val="00A254DE"/>
    <w:rsid w:val="00A2599E"/>
    <w:rsid w:val="00A26054"/>
    <w:rsid w:val="00A2608E"/>
    <w:rsid w:val="00A26C64"/>
    <w:rsid w:val="00A27A0C"/>
    <w:rsid w:val="00A27EA2"/>
    <w:rsid w:val="00A27F1E"/>
    <w:rsid w:val="00A301D3"/>
    <w:rsid w:val="00A30A0C"/>
    <w:rsid w:val="00A30EA9"/>
    <w:rsid w:val="00A32741"/>
    <w:rsid w:val="00A330F8"/>
    <w:rsid w:val="00A336A3"/>
    <w:rsid w:val="00A33F3A"/>
    <w:rsid w:val="00A3426E"/>
    <w:rsid w:val="00A34312"/>
    <w:rsid w:val="00A35371"/>
    <w:rsid w:val="00A355B7"/>
    <w:rsid w:val="00A3569E"/>
    <w:rsid w:val="00A35763"/>
    <w:rsid w:val="00A361CB"/>
    <w:rsid w:val="00A362D1"/>
    <w:rsid w:val="00A363ED"/>
    <w:rsid w:val="00A36623"/>
    <w:rsid w:val="00A36A11"/>
    <w:rsid w:val="00A3736E"/>
    <w:rsid w:val="00A37631"/>
    <w:rsid w:val="00A37CE1"/>
    <w:rsid w:val="00A40480"/>
    <w:rsid w:val="00A40874"/>
    <w:rsid w:val="00A41D50"/>
    <w:rsid w:val="00A41F72"/>
    <w:rsid w:val="00A42131"/>
    <w:rsid w:val="00A42926"/>
    <w:rsid w:val="00A42999"/>
    <w:rsid w:val="00A42BC3"/>
    <w:rsid w:val="00A42FA0"/>
    <w:rsid w:val="00A43232"/>
    <w:rsid w:val="00A438A8"/>
    <w:rsid w:val="00A438F2"/>
    <w:rsid w:val="00A4411A"/>
    <w:rsid w:val="00A441AC"/>
    <w:rsid w:val="00A4427F"/>
    <w:rsid w:val="00A442DD"/>
    <w:rsid w:val="00A443AC"/>
    <w:rsid w:val="00A4452D"/>
    <w:rsid w:val="00A45D8B"/>
    <w:rsid w:val="00A46755"/>
    <w:rsid w:val="00A46914"/>
    <w:rsid w:val="00A47A17"/>
    <w:rsid w:val="00A500FD"/>
    <w:rsid w:val="00A504A9"/>
    <w:rsid w:val="00A51281"/>
    <w:rsid w:val="00A51730"/>
    <w:rsid w:val="00A51A00"/>
    <w:rsid w:val="00A51E7B"/>
    <w:rsid w:val="00A5254B"/>
    <w:rsid w:val="00A525D6"/>
    <w:rsid w:val="00A52A98"/>
    <w:rsid w:val="00A52D2A"/>
    <w:rsid w:val="00A53656"/>
    <w:rsid w:val="00A53D89"/>
    <w:rsid w:val="00A54C60"/>
    <w:rsid w:val="00A55237"/>
    <w:rsid w:val="00A55657"/>
    <w:rsid w:val="00A55EE3"/>
    <w:rsid w:val="00A5623B"/>
    <w:rsid w:val="00A568DC"/>
    <w:rsid w:val="00A56C4E"/>
    <w:rsid w:val="00A56DBA"/>
    <w:rsid w:val="00A57123"/>
    <w:rsid w:val="00A57847"/>
    <w:rsid w:val="00A602AF"/>
    <w:rsid w:val="00A61398"/>
    <w:rsid w:val="00A617E3"/>
    <w:rsid w:val="00A619DA"/>
    <w:rsid w:val="00A61C8F"/>
    <w:rsid w:val="00A62145"/>
    <w:rsid w:val="00A62DD6"/>
    <w:rsid w:val="00A62E54"/>
    <w:rsid w:val="00A636CF"/>
    <w:rsid w:val="00A63998"/>
    <w:rsid w:val="00A63B39"/>
    <w:rsid w:val="00A64387"/>
    <w:rsid w:val="00A64642"/>
    <w:rsid w:val="00A6507A"/>
    <w:rsid w:val="00A65503"/>
    <w:rsid w:val="00A6578D"/>
    <w:rsid w:val="00A66F77"/>
    <w:rsid w:val="00A70071"/>
    <w:rsid w:val="00A7007B"/>
    <w:rsid w:val="00A7060B"/>
    <w:rsid w:val="00A71308"/>
    <w:rsid w:val="00A7133E"/>
    <w:rsid w:val="00A71B6C"/>
    <w:rsid w:val="00A71D8F"/>
    <w:rsid w:val="00A721C8"/>
    <w:rsid w:val="00A728DD"/>
    <w:rsid w:val="00A72915"/>
    <w:rsid w:val="00A72C57"/>
    <w:rsid w:val="00A72D07"/>
    <w:rsid w:val="00A733DB"/>
    <w:rsid w:val="00A734F0"/>
    <w:rsid w:val="00A738F7"/>
    <w:rsid w:val="00A73B5F"/>
    <w:rsid w:val="00A73DA9"/>
    <w:rsid w:val="00A74097"/>
    <w:rsid w:val="00A74734"/>
    <w:rsid w:val="00A74CD4"/>
    <w:rsid w:val="00A74D28"/>
    <w:rsid w:val="00A74D58"/>
    <w:rsid w:val="00A75275"/>
    <w:rsid w:val="00A75967"/>
    <w:rsid w:val="00A760E5"/>
    <w:rsid w:val="00A76536"/>
    <w:rsid w:val="00A765E8"/>
    <w:rsid w:val="00A76704"/>
    <w:rsid w:val="00A76E74"/>
    <w:rsid w:val="00A77CA4"/>
    <w:rsid w:val="00A77DFF"/>
    <w:rsid w:val="00A806C1"/>
    <w:rsid w:val="00A80A0D"/>
    <w:rsid w:val="00A80C58"/>
    <w:rsid w:val="00A80C9F"/>
    <w:rsid w:val="00A813EF"/>
    <w:rsid w:val="00A81F7C"/>
    <w:rsid w:val="00A8212D"/>
    <w:rsid w:val="00A8257C"/>
    <w:rsid w:val="00A8268C"/>
    <w:rsid w:val="00A82D9A"/>
    <w:rsid w:val="00A830C2"/>
    <w:rsid w:val="00A83347"/>
    <w:rsid w:val="00A83A33"/>
    <w:rsid w:val="00A83AA5"/>
    <w:rsid w:val="00A83AAE"/>
    <w:rsid w:val="00A855C6"/>
    <w:rsid w:val="00A855C7"/>
    <w:rsid w:val="00A860C6"/>
    <w:rsid w:val="00A8669E"/>
    <w:rsid w:val="00A86819"/>
    <w:rsid w:val="00A86904"/>
    <w:rsid w:val="00A86BA3"/>
    <w:rsid w:val="00A870B0"/>
    <w:rsid w:val="00A8785C"/>
    <w:rsid w:val="00A90833"/>
    <w:rsid w:val="00A909FB"/>
    <w:rsid w:val="00A90DC4"/>
    <w:rsid w:val="00A90FF5"/>
    <w:rsid w:val="00A91825"/>
    <w:rsid w:val="00A9203B"/>
    <w:rsid w:val="00A92F8B"/>
    <w:rsid w:val="00A93138"/>
    <w:rsid w:val="00A9383A"/>
    <w:rsid w:val="00A93D8D"/>
    <w:rsid w:val="00A9400A"/>
    <w:rsid w:val="00A94106"/>
    <w:rsid w:val="00A94468"/>
    <w:rsid w:val="00A945B6"/>
    <w:rsid w:val="00A947CF"/>
    <w:rsid w:val="00A9487E"/>
    <w:rsid w:val="00A95206"/>
    <w:rsid w:val="00A95701"/>
    <w:rsid w:val="00A95AB3"/>
    <w:rsid w:val="00A95FE6"/>
    <w:rsid w:val="00A9610D"/>
    <w:rsid w:val="00A961E1"/>
    <w:rsid w:val="00A96248"/>
    <w:rsid w:val="00A96EF7"/>
    <w:rsid w:val="00A96FE4"/>
    <w:rsid w:val="00A971FD"/>
    <w:rsid w:val="00A9723B"/>
    <w:rsid w:val="00A97298"/>
    <w:rsid w:val="00A977BB"/>
    <w:rsid w:val="00A9781A"/>
    <w:rsid w:val="00A979A7"/>
    <w:rsid w:val="00A97B18"/>
    <w:rsid w:val="00A97D31"/>
    <w:rsid w:val="00AA036F"/>
    <w:rsid w:val="00AA0831"/>
    <w:rsid w:val="00AA10EE"/>
    <w:rsid w:val="00AA16AE"/>
    <w:rsid w:val="00AA2414"/>
    <w:rsid w:val="00AA27DE"/>
    <w:rsid w:val="00AA34CB"/>
    <w:rsid w:val="00AA38B3"/>
    <w:rsid w:val="00AA3B41"/>
    <w:rsid w:val="00AA3BE5"/>
    <w:rsid w:val="00AA3DB4"/>
    <w:rsid w:val="00AA4130"/>
    <w:rsid w:val="00AA4B2F"/>
    <w:rsid w:val="00AA4C03"/>
    <w:rsid w:val="00AA566F"/>
    <w:rsid w:val="00AA5859"/>
    <w:rsid w:val="00AA6C7B"/>
    <w:rsid w:val="00AA76F9"/>
    <w:rsid w:val="00AA784C"/>
    <w:rsid w:val="00AA79BF"/>
    <w:rsid w:val="00AA7B04"/>
    <w:rsid w:val="00AA7C38"/>
    <w:rsid w:val="00AB2364"/>
    <w:rsid w:val="00AB27EA"/>
    <w:rsid w:val="00AB29DA"/>
    <w:rsid w:val="00AB2D5E"/>
    <w:rsid w:val="00AB2D76"/>
    <w:rsid w:val="00AB3052"/>
    <w:rsid w:val="00AB3443"/>
    <w:rsid w:val="00AB3736"/>
    <w:rsid w:val="00AB3AF0"/>
    <w:rsid w:val="00AB3BA6"/>
    <w:rsid w:val="00AB3D5E"/>
    <w:rsid w:val="00AB3E16"/>
    <w:rsid w:val="00AB421F"/>
    <w:rsid w:val="00AB454A"/>
    <w:rsid w:val="00AB47FC"/>
    <w:rsid w:val="00AB496F"/>
    <w:rsid w:val="00AB5B62"/>
    <w:rsid w:val="00AB5BFC"/>
    <w:rsid w:val="00AB720D"/>
    <w:rsid w:val="00AB746D"/>
    <w:rsid w:val="00AB7593"/>
    <w:rsid w:val="00AB7636"/>
    <w:rsid w:val="00AB78E8"/>
    <w:rsid w:val="00AB7A5E"/>
    <w:rsid w:val="00AB7C26"/>
    <w:rsid w:val="00AC0334"/>
    <w:rsid w:val="00AC0337"/>
    <w:rsid w:val="00AC0340"/>
    <w:rsid w:val="00AC0E2E"/>
    <w:rsid w:val="00AC0FD3"/>
    <w:rsid w:val="00AC1102"/>
    <w:rsid w:val="00AC156C"/>
    <w:rsid w:val="00AC1761"/>
    <w:rsid w:val="00AC2BFF"/>
    <w:rsid w:val="00AC2D53"/>
    <w:rsid w:val="00AC30B7"/>
    <w:rsid w:val="00AC3532"/>
    <w:rsid w:val="00AC3A16"/>
    <w:rsid w:val="00AC3F53"/>
    <w:rsid w:val="00AC4E78"/>
    <w:rsid w:val="00AC4E7C"/>
    <w:rsid w:val="00AC55CD"/>
    <w:rsid w:val="00AC56DB"/>
    <w:rsid w:val="00AC660F"/>
    <w:rsid w:val="00AC702B"/>
    <w:rsid w:val="00AC7B95"/>
    <w:rsid w:val="00AD0038"/>
    <w:rsid w:val="00AD0324"/>
    <w:rsid w:val="00AD03CB"/>
    <w:rsid w:val="00AD0866"/>
    <w:rsid w:val="00AD0C13"/>
    <w:rsid w:val="00AD0E81"/>
    <w:rsid w:val="00AD0FBA"/>
    <w:rsid w:val="00AD1022"/>
    <w:rsid w:val="00AD12B5"/>
    <w:rsid w:val="00AD13E7"/>
    <w:rsid w:val="00AD2A26"/>
    <w:rsid w:val="00AD2BF4"/>
    <w:rsid w:val="00AD2D38"/>
    <w:rsid w:val="00AD2DE8"/>
    <w:rsid w:val="00AD2E6C"/>
    <w:rsid w:val="00AD3054"/>
    <w:rsid w:val="00AD35A9"/>
    <w:rsid w:val="00AD39FC"/>
    <w:rsid w:val="00AD3B6F"/>
    <w:rsid w:val="00AD45F4"/>
    <w:rsid w:val="00AD494A"/>
    <w:rsid w:val="00AD537E"/>
    <w:rsid w:val="00AD5950"/>
    <w:rsid w:val="00AD5DDE"/>
    <w:rsid w:val="00AD683D"/>
    <w:rsid w:val="00AD6E3D"/>
    <w:rsid w:val="00AD71AF"/>
    <w:rsid w:val="00AD76AD"/>
    <w:rsid w:val="00AD774E"/>
    <w:rsid w:val="00AD7A06"/>
    <w:rsid w:val="00AE0099"/>
    <w:rsid w:val="00AE0169"/>
    <w:rsid w:val="00AE0900"/>
    <w:rsid w:val="00AE0E48"/>
    <w:rsid w:val="00AE1AC4"/>
    <w:rsid w:val="00AE27EA"/>
    <w:rsid w:val="00AE2A44"/>
    <w:rsid w:val="00AE2B3F"/>
    <w:rsid w:val="00AE2C65"/>
    <w:rsid w:val="00AE2D36"/>
    <w:rsid w:val="00AE3337"/>
    <w:rsid w:val="00AE34D5"/>
    <w:rsid w:val="00AE3561"/>
    <w:rsid w:val="00AE3C19"/>
    <w:rsid w:val="00AE464D"/>
    <w:rsid w:val="00AE5535"/>
    <w:rsid w:val="00AE5745"/>
    <w:rsid w:val="00AE57B8"/>
    <w:rsid w:val="00AE5BAD"/>
    <w:rsid w:val="00AE6065"/>
    <w:rsid w:val="00AE6406"/>
    <w:rsid w:val="00AE662F"/>
    <w:rsid w:val="00AE6BF2"/>
    <w:rsid w:val="00AE7013"/>
    <w:rsid w:val="00AE7155"/>
    <w:rsid w:val="00AE781A"/>
    <w:rsid w:val="00AE7E73"/>
    <w:rsid w:val="00AE7F01"/>
    <w:rsid w:val="00AF01F1"/>
    <w:rsid w:val="00AF03A3"/>
    <w:rsid w:val="00AF048A"/>
    <w:rsid w:val="00AF0B23"/>
    <w:rsid w:val="00AF11FE"/>
    <w:rsid w:val="00AF19C4"/>
    <w:rsid w:val="00AF1DDD"/>
    <w:rsid w:val="00AF209B"/>
    <w:rsid w:val="00AF22FD"/>
    <w:rsid w:val="00AF2331"/>
    <w:rsid w:val="00AF2346"/>
    <w:rsid w:val="00AF26A8"/>
    <w:rsid w:val="00AF2DC9"/>
    <w:rsid w:val="00AF2E85"/>
    <w:rsid w:val="00AF3570"/>
    <w:rsid w:val="00AF3DD8"/>
    <w:rsid w:val="00AF4244"/>
    <w:rsid w:val="00AF4311"/>
    <w:rsid w:val="00AF46F8"/>
    <w:rsid w:val="00AF4901"/>
    <w:rsid w:val="00AF4BBB"/>
    <w:rsid w:val="00AF546F"/>
    <w:rsid w:val="00AF55A3"/>
    <w:rsid w:val="00AF59CD"/>
    <w:rsid w:val="00AF5AF0"/>
    <w:rsid w:val="00AF5BF8"/>
    <w:rsid w:val="00AF5F16"/>
    <w:rsid w:val="00AF658B"/>
    <w:rsid w:val="00AF75D2"/>
    <w:rsid w:val="00AF767A"/>
    <w:rsid w:val="00AF76AE"/>
    <w:rsid w:val="00AF7B53"/>
    <w:rsid w:val="00B00C28"/>
    <w:rsid w:val="00B00D97"/>
    <w:rsid w:val="00B010A4"/>
    <w:rsid w:val="00B011C6"/>
    <w:rsid w:val="00B01D5D"/>
    <w:rsid w:val="00B028C7"/>
    <w:rsid w:val="00B0299C"/>
    <w:rsid w:val="00B03184"/>
    <w:rsid w:val="00B03724"/>
    <w:rsid w:val="00B03C1C"/>
    <w:rsid w:val="00B03D29"/>
    <w:rsid w:val="00B055FF"/>
    <w:rsid w:val="00B0585E"/>
    <w:rsid w:val="00B05E2D"/>
    <w:rsid w:val="00B05E39"/>
    <w:rsid w:val="00B0601D"/>
    <w:rsid w:val="00B06E1D"/>
    <w:rsid w:val="00B0764C"/>
    <w:rsid w:val="00B07F5E"/>
    <w:rsid w:val="00B108E0"/>
    <w:rsid w:val="00B11A44"/>
    <w:rsid w:val="00B11A67"/>
    <w:rsid w:val="00B122D1"/>
    <w:rsid w:val="00B12743"/>
    <w:rsid w:val="00B12CE0"/>
    <w:rsid w:val="00B12DF4"/>
    <w:rsid w:val="00B13670"/>
    <w:rsid w:val="00B14064"/>
    <w:rsid w:val="00B14908"/>
    <w:rsid w:val="00B15CE1"/>
    <w:rsid w:val="00B160DC"/>
    <w:rsid w:val="00B16115"/>
    <w:rsid w:val="00B16573"/>
    <w:rsid w:val="00B16F2C"/>
    <w:rsid w:val="00B17BC4"/>
    <w:rsid w:val="00B17EC1"/>
    <w:rsid w:val="00B2012E"/>
    <w:rsid w:val="00B201B6"/>
    <w:rsid w:val="00B2050C"/>
    <w:rsid w:val="00B2110B"/>
    <w:rsid w:val="00B21251"/>
    <w:rsid w:val="00B2148E"/>
    <w:rsid w:val="00B216EC"/>
    <w:rsid w:val="00B23184"/>
    <w:rsid w:val="00B2366C"/>
    <w:rsid w:val="00B23693"/>
    <w:rsid w:val="00B2484F"/>
    <w:rsid w:val="00B252B9"/>
    <w:rsid w:val="00B26016"/>
    <w:rsid w:val="00B26B5A"/>
    <w:rsid w:val="00B270F2"/>
    <w:rsid w:val="00B271DE"/>
    <w:rsid w:val="00B307BF"/>
    <w:rsid w:val="00B30A86"/>
    <w:rsid w:val="00B30D37"/>
    <w:rsid w:val="00B30F58"/>
    <w:rsid w:val="00B31045"/>
    <w:rsid w:val="00B3119C"/>
    <w:rsid w:val="00B318BC"/>
    <w:rsid w:val="00B31B1E"/>
    <w:rsid w:val="00B3299F"/>
    <w:rsid w:val="00B335BC"/>
    <w:rsid w:val="00B337CD"/>
    <w:rsid w:val="00B338EF"/>
    <w:rsid w:val="00B33999"/>
    <w:rsid w:val="00B33EE8"/>
    <w:rsid w:val="00B34329"/>
    <w:rsid w:val="00B343FC"/>
    <w:rsid w:val="00B35D8B"/>
    <w:rsid w:val="00B368E3"/>
    <w:rsid w:val="00B372EF"/>
    <w:rsid w:val="00B400A3"/>
    <w:rsid w:val="00B404EB"/>
    <w:rsid w:val="00B41190"/>
    <w:rsid w:val="00B414FF"/>
    <w:rsid w:val="00B41602"/>
    <w:rsid w:val="00B41885"/>
    <w:rsid w:val="00B41A26"/>
    <w:rsid w:val="00B41B46"/>
    <w:rsid w:val="00B41D53"/>
    <w:rsid w:val="00B42284"/>
    <w:rsid w:val="00B42CFC"/>
    <w:rsid w:val="00B42D64"/>
    <w:rsid w:val="00B4320B"/>
    <w:rsid w:val="00B43498"/>
    <w:rsid w:val="00B43F4D"/>
    <w:rsid w:val="00B4443E"/>
    <w:rsid w:val="00B44467"/>
    <w:rsid w:val="00B44597"/>
    <w:rsid w:val="00B44696"/>
    <w:rsid w:val="00B44D73"/>
    <w:rsid w:val="00B45038"/>
    <w:rsid w:val="00B4524C"/>
    <w:rsid w:val="00B460E1"/>
    <w:rsid w:val="00B46B51"/>
    <w:rsid w:val="00B46DDF"/>
    <w:rsid w:val="00B46FFE"/>
    <w:rsid w:val="00B47080"/>
    <w:rsid w:val="00B470A0"/>
    <w:rsid w:val="00B47ACE"/>
    <w:rsid w:val="00B50015"/>
    <w:rsid w:val="00B501D4"/>
    <w:rsid w:val="00B50389"/>
    <w:rsid w:val="00B507F1"/>
    <w:rsid w:val="00B51B01"/>
    <w:rsid w:val="00B52585"/>
    <w:rsid w:val="00B53264"/>
    <w:rsid w:val="00B53399"/>
    <w:rsid w:val="00B53B43"/>
    <w:rsid w:val="00B5407C"/>
    <w:rsid w:val="00B543CF"/>
    <w:rsid w:val="00B5471B"/>
    <w:rsid w:val="00B5497A"/>
    <w:rsid w:val="00B54ED0"/>
    <w:rsid w:val="00B55614"/>
    <w:rsid w:val="00B558BF"/>
    <w:rsid w:val="00B55A5D"/>
    <w:rsid w:val="00B55B71"/>
    <w:rsid w:val="00B55CA0"/>
    <w:rsid w:val="00B564A2"/>
    <w:rsid w:val="00B56CB8"/>
    <w:rsid w:val="00B57033"/>
    <w:rsid w:val="00B57787"/>
    <w:rsid w:val="00B57E04"/>
    <w:rsid w:val="00B605BD"/>
    <w:rsid w:val="00B6154C"/>
    <w:rsid w:val="00B61983"/>
    <w:rsid w:val="00B61DAE"/>
    <w:rsid w:val="00B620AC"/>
    <w:rsid w:val="00B6226B"/>
    <w:rsid w:val="00B62C24"/>
    <w:rsid w:val="00B62C37"/>
    <w:rsid w:val="00B63015"/>
    <w:rsid w:val="00B639F8"/>
    <w:rsid w:val="00B63A95"/>
    <w:rsid w:val="00B64577"/>
    <w:rsid w:val="00B64A64"/>
    <w:rsid w:val="00B64EC8"/>
    <w:rsid w:val="00B64F37"/>
    <w:rsid w:val="00B65464"/>
    <w:rsid w:val="00B659CA"/>
    <w:rsid w:val="00B65A60"/>
    <w:rsid w:val="00B65D31"/>
    <w:rsid w:val="00B666A8"/>
    <w:rsid w:val="00B666C0"/>
    <w:rsid w:val="00B67586"/>
    <w:rsid w:val="00B67A67"/>
    <w:rsid w:val="00B67F13"/>
    <w:rsid w:val="00B713C3"/>
    <w:rsid w:val="00B7140F"/>
    <w:rsid w:val="00B71562"/>
    <w:rsid w:val="00B71A16"/>
    <w:rsid w:val="00B72FA7"/>
    <w:rsid w:val="00B737D9"/>
    <w:rsid w:val="00B73E0F"/>
    <w:rsid w:val="00B74068"/>
    <w:rsid w:val="00B7421D"/>
    <w:rsid w:val="00B74D12"/>
    <w:rsid w:val="00B75092"/>
    <w:rsid w:val="00B757DE"/>
    <w:rsid w:val="00B758E0"/>
    <w:rsid w:val="00B76165"/>
    <w:rsid w:val="00B761DC"/>
    <w:rsid w:val="00B761E1"/>
    <w:rsid w:val="00B766EA"/>
    <w:rsid w:val="00B76725"/>
    <w:rsid w:val="00B77949"/>
    <w:rsid w:val="00B77BB5"/>
    <w:rsid w:val="00B800ED"/>
    <w:rsid w:val="00B8059F"/>
    <w:rsid w:val="00B805C9"/>
    <w:rsid w:val="00B80899"/>
    <w:rsid w:val="00B80C00"/>
    <w:rsid w:val="00B810AC"/>
    <w:rsid w:val="00B81989"/>
    <w:rsid w:val="00B81D60"/>
    <w:rsid w:val="00B81D93"/>
    <w:rsid w:val="00B81F48"/>
    <w:rsid w:val="00B82638"/>
    <w:rsid w:val="00B8270A"/>
    <w:rsid w:val="00B8279E"/>
    <w:rsid w:val="00B82991"/>
    <w:rsid w:val="00B82C56"/>
    <w:rsid w:val="00B831D7"/>
    <w:rsid w:val="00B8396E"/>
    <w:rsid w:val="00B8404E"/>
    <w:rsid w:val="00B845AF"/>
    <w:rsid w:val="00B84B7B"/>
    <w:rsid w:val="00B84BC5"/>
    <w:rsid w:val="00B850DE"/>
    <w:rsid w:val="00B8545A"/>
    <w:rsid w:val="00B85756"/>
    <w:rsid w:val="00B85A05"/>
    <w:rsid w:val="00B85EAB"/>
    <w:rsid w:val="00B86362"/>
    <w:rsid w:val="00B863EA"/>
    <w:rsid w:val="00B8650D"/>
    <w:rsid w:val="00B86A8C"/>
    <w:rsid w:val="00B87D2D"/>
    <w:rsid w:val="00B90423"/>
    <w:rsid w:val="00B9054A"/>
    <w:rsid w:val="00B90FEE"/>
    <w:rsid w:val="00B91E2B"/>
    <w:rsid w:val="00B92237"/>
    <w:rsid w:val="00B92A79"/>
    <w:rsid w:val="00B9376F"/>
    <w:rsid w:val="00B93D73"/>
    <w:rsid w:val="00B93F1C"/>
    <w:rsid w:val="00B93F30"/>
    <w:rsid w:val="00B94499"/>
    <w:rsid w:val="00B944B6"/>
    <w:rsid w:val="00B945C7"/>
    <w:rsid w:val="00B947F7"/>
    <w:rsid w:val="00B94B7D"/>
    <w:rsid w:val="00B94DA2"/>
    <w:rsid w:val="00B95C38"/>
    <w:rsid w:val="00B96324"/>
    <w:rsid w:val="00B96C8B"/>
    <w:rsid w:val="00B96ED9"/>
    <w:rsid w:val="00B972AB"/>
    <w:rsid w:val="00B975E2"/>
    <w:rsid w:val="00B9780D"/>
    <w:rsid w:val="00B97C16"/>
    <w:rsid w:val="00B97DCE"/>
    <w:rsid w:val="00B97FE5"/>
    <w:rsid w:val="00BA00F9"/>
    <w:rsid w:val="00BA01D9"/>
    <w:rsid w:val="00BA06A1"/>
    <w:rsid w:val="00BA12B0"/>
    <w:rsid w:val="00BA1391"/>
    <w:rsid w:val="00BA1B11"/>
    <w:rsid w:val="00BA24A8"/>
    <w:rsid w:val="00BA3505"/>
    <w:rsid w:val="00BA389C"/>
    <w:rsid w:val="00BA44FD"/>
    <w:rsid w:val="00BA4C08"/>
    <w:rsid w:val="00BA5068"/>
    <w:rsid w:val="00BA5408"/>
    <w:rsid w:val="00BA58BB"/>
    <w:rsid w:val="00BA626F"/>
    <w:rsid w:val="00BA65D6"/>
    <w:rsid w:val="00BA6BE7"/>
    <w:rsid w:val="00BA73E9"/>
    <w:rsid w:val="00BB0435"/>
    <w:rsid w:val="00BB0F0B"/>
    <w:rsid w:val="00BB0F54"/>
    <w:rsid w:val="00BB1237"/>
    <w:rsid w:val="00BB143F"/>
    <w:rsid w:val="00BB2309"/>
    <w:rsid w:val="00BB26D8"/>
    <w:rsid w:val="00BB384C"/>
    <w:rsid w:val="00BB3C2D"/>
    <w:rsid w:val="00BB3F37"/>
    <w:rsid w:val="00BB4EB9"/>
    <w:rsid w:val="00BB5097"/>
    <w:rsid w:val="00BB5342"/>
    <w:rsid w:val="00BB540F"/>
    <w:rsid w:val="00BB5576"/>
    <w:rsid w:val="00BB5EEA"/>
    <w:rsid w:val="00BB60D6"/>
    <w:rsid w:val="00BB6A85"/>
    <w:rsid w:val="00BB6CB2"/>
    <w:rsid w:val="00BB7152"/>
    <w:rsid w:val="00BB74A4"/>
    <w:rsid w:val="00BB7D2B"/>
    <w:rsid w:val="00BB7F60"/>
    <w:rsid w:val="00BC0756"/>
    <w:rsid w:val="00BC086E"/>
    <w:rsid w:val="00BC10CB"/>
    <w:rsid w:val="00BC2AC3"/>
    <w:rsid w:val="00BC3BD2"/>
    <w:rsid w:val="00BC3C72"/>
    <w:rsid w:val="00BC3DE6"/>
    <w:rsid w:val="00BC3DFC"/>
    <w:rsid w:val="00BC4153"/>
    <w:rsid w:val="00BC422E"/>
    <w:rsid w:val="00BC53F9"/>
    <w:rsid w:val="00BC56B4"/>
    <w:rsid w:val="00BC5D4C"/>
    <w:rsid w:val="00BC6ED2"/>
    <w:rsid w:val="00BC7260"/>
    <w:rsid w:val="00BC7F10"/>
    <w:rsid w:val="00BD0799"/>
    <w:rsid w:val="00BD09C0"/>
    <w:rsid w:val="00BD179C"/>
    <w:rsid w:val="00BD1C90"/>
    <w:rsid w:val="00BD1F7E"/>
    <w:rsid w:val="00BD253E"/>
    <w:rsid w:val="00BD288D"/>
    <w:rsid w:val="00BD2E4F"/>
    <w:rsid w:val="00BD38B6"/>
    <w:rsid w:val="00BD3DD4"/>
    <w:rsid w:val="00BD41C5"/>
    <w:rsid w:val="00BD4936"/>
    <w:rsid w:val="00BD52FC"/>
    <w:rsid w:val="00BD573C"/>
    <w:rsid w:val="00BD6BC1"/>
    <w:rsid w:val="00BD75EB"/>
    <w:rsid w:val="00BD7AF9"/>
    <w:rsid w:val="00BD7D60"/>
    <w:rsid w:val="00BE0631"/>
    <w:rsid w:val="00BE0882"/>
    <w:rsid w:val="00BE088B"/>
    <w:rsid w:val="00BE0FE4"/>
    <w:rsid w:val="00BE2DA7"/>
    <w:rsid w:val="00BE30DA"/>
    <w:rsid w:val="00BE3581"/>
    <w:rsid w:val="00BE364A"/>
    <w:rsid w:val="00BE367F"/>
    <w:rsid w:val="00BE3C77"/>
    <w:rsid w:val="00BE3EEB"/>
    <w:rsid w:val="00BE47DE"/>
    <w:rsid w:val="00BE5067"/>
    <w:rsid w:val="00BE5D16"/>
    <w:rsid w:val="00BE5D94"/>
    <w:rsid w:val="00BE60DC"/>
    <w:rsid w:val="00BE61F8"/>
    <w:rsid w:val="00BE6AA9"/>
    <w:rsid w:val="00BE6AF1"/>
    <w:rsid w:val="00BE75FA"/>
    <w:rsid w:val="00BE7C08"/>
    <w:rsid w:val="00BE7FFC"/>
    <w:rsid w:val="00BF06A2"/>
    <w:rsid w:val="00BF0C94"/>
    <w:rsid w:val="00BF0D59"/>
    <w:rsid w:val="00BF0EE0"/>
    <w:rsid w:val="00BF0F5B"/>
    <w:rsid w:val="00BF1007"/>
    <w:rsid w:val="00BF147B"/>
    <w:rsid w:val="00BF18CE"/>
    <w:rsid w:val="00BF1B2E"/>
    <w:rsid w:val="00BF2378"/>
    <w:rsid w:val="00BF2476"/>
    <w:rsid w:val="00BF26A3"/>
    <w:rsid w:val="00BF2BA6"/>
    <w:rsid w:val="00BF2C87"/>
    <w:rsid w:val="00BF2D94"/>
    <w:rsid w:val="00BF2F61"/>
    <w:rsid w:val="00BF3158"/>
    <w:rsid w:val="00BF3F07"/>
    <w:rsid w:val="00BF3FCD"/>
    <w:rsid w:val="00BF4016"/>
    <w:rsid w:val="00BF43C5"/>
    <w:rsid w:val="00BF4498"/>
    <w:rsid w:val="00BF4872"/>
    <w:rsid w:val="00BF53BD"/>
    <w:rsid w:val="00BF5B29"/>
    <w:rsid w:val="00BF5BF5"/>
    <w:rsid w:val="00BF5EFC"/>
    <w:rsid w:val="00BF604B"/>
    <w:rsid w:val="00BF619D"/>
    <w:rsid w:val="00BF61E9"/>
    <w:rsid w:val="00BF69D7"/>
    <w:rsid w:val="00BF7302"/>
    <w:rsid w:val="00BF7B4D"/>
    <w:rsid w:val="00BF7BD3"/>
    <w:rsid w:val="00C000B9"/>
    <w:rsid w:val="00C0082A"/>
    <w:rsid w:val="00C00A3D"/>
    <w:rsid w:val="00C00F22"/>
    <w:rsid w:val="00C01E78"/>
    <w:rsid w:val="00C01ED2"/>
    <w:rsid w:val="00C0261E"/>
    <w:rsid w:val="00C0298A"/>
    <w:rsid w:val="00C02F22"/>
    <w:rsid w:val="00C033C5"/>
    <w:rsid w:val="00C03404"/>
    <w:rsid w:val="00C0362F"/>
    <w:rsid w:val="00C039CF"/>
    <w:rsid w:val="00C03E7C"/>
    <w:rsid w:val="00C0428D"/>
    <w:rsid w:val="00C05557"/>
    <w:rsid w:val="00C057BA"/>
    <w:rsid w:val="00C06137"/>
    <w:rsid w:val="00C063FD"/>
    <w:rsid w:val="00C0659A"/>
    <w:rsid w:val="00C0661A"/>
    <w:rsid w:val="00C06BDC"/>
    <w:rsid w:val="00C07356"/>
    <w:rsid w:val="00C07887"/>
    <w:rsid w:val="00C0788D"/>
    <w:rsid w:val="00C100C4"/>
    <w:rsid w:val="00C105BA"/>
    <w:rsid w:val="00C10B6B"/>
    <w:rsid w:val="00C10B89"/>
    <w:rsid w:val="00C11DFE"/>
    <w:rsid w:val="00C12A61"/>
    <w:rsid w:val="00C12BAD"/>
    <w:rsid w:val="00C1379F"/>
    <w:rsid w:val="00C1393E"/>
    <w:rsid w:val="00C14150"/>
    <w:rsid w:val="00C146C2"/>
    <w:rsid w:val="00C14D72"/>
    <w:rsid w:val="00C14D7A"/>
    <w:rsid w:val="00C154FE"/>
    <w:rsid w:val="00C15D71"/>
    <w:rsid w:val="00C16A30"/>
    <w:rsid w:val="00C16C1B"/>
    <w:rsid w:val="00C175D6"/>
    <w:rsid w:val="00C178D8"/>
    <w:rsid w:val="00C17EE5"/>
    <w:rsid w:val="00C2030E"/>
    <w:rsid w:val="00C20415"/>
    <w:rsid w:val="00C204CE"/>
    <w:rsid w:val="00C20637"/>
    <w:rsid w:val="00C20840"/>
    <w:rsid w:val="00C20E2D"/>
    <w:rsid w:val="00C20EDA"/>
    <w:rsid w:val="00C21BC1"/>
    <w:rsid w:val="00C222A9"/>
    <w:rsid w:val="00C22311"/>
    <w:rsid w:val="00C2238B"/>
    <w:rsid w:val="00C22393"/>
    <w:rsid w:val="00C22489"/>
    <w:rsid w:val="00C22495"/>
    <w:rsid w:val="00C22879"/>
    <w:rsid w:val="00C2290D"/>
    <w:rsid w:val="00C22A19"/>
    <w:rsid w:val="00C22AEB"/>
    <w:rsid w:val="00C22D65"/>
    <w:rsid w:val="00C234F6"/>
    <w:rsid w:val="00C239C2"/>
    <w:rsid w:val="00C23C44"/>
    <w:rsid w:val="00C23C5A"/>
    <w:rsid w:val="00C23E5D"/>
    <w:rsid w:val="00C24A4F"/>
    <w:rsid w:val="00C2520E"/>
    <w:rsid w:val="00C25513"/>
    <w:rsid w:val="00C256B5"/>
    <w:rsid w:val="00C25765"/>
    <w:rsid w:val="00C258A0"/>
    <w:rsid w:val="00C25A95"/>
    <w:rsid w:val="00C25C54"/>
    <w:rsid w:val="00C2695D"/>
    <w:rsid w:val="00C26CCB"/>
    <w:rsid w:val="00C26DFC"/>
    <w:rsid w:val="00C27256"/>
    <w:rsid w:val="00C30C77"/>
    <w:rsid w:val="00C3159B"/>
    <w:rsid w:val="00C31FD7"/>
    <w:rsid w:val="00C32138"/>
    <w:rsid w:val="00C325B6"/>
    <w:rsid w:val="00C35438"/>
    <w:rsid w:val="00C35A88"/>
    <w:rsid w:val="00C35C6F"/>
    <w:rsid w:val="00C35D4B"/>
    <w:rsid w:val="00C363E0"/>
    <w:rsid w:val="00C365AB"/>
    <w:rsid w:val="00C36A17"/>
    <w:rsid w:val="00C36AFB"/>
    <w:rsid w:val="00C36D6D"/>
    <w:rsid w:val="00C3766F"/>
    <w:rsid w:val="00C3794A"/>
    <w:rsid w:val="00C37A91"/>
    <w:rsid w:val="00C37E89"/>
    <w:rsid w:val="00C4029D"/>
    <w:rsid w:val="00C40666"/>
    <w:rsid w:val="00C40A42"/>
    <w:rsid w:val="00C40DFA"/>
    <w:rsid w:val="00C41023"/>
    <w:rsid w:val="00C41428"/>
    <w:rsid w:val="00C41F53"/>
    <w:rsid w:val="00C41FA7"/>
    <w:rsid w:val="00C42698"/>
    <w:rsid w:val="00C43045"/>
    <w:rsid w:val="00C433AB"/>
    <w:rsid w:val="00C43823"/>
    <w:rsid w:val="00C44718"/>
    <w:rsid w:val="00C45360"/>
    <w:rsid w:val="00C457E5"/>
    <w:rsid w:val="00C45D6F"/>
    <w:rsid w:val="00C46239"/>
    <w:rsid w:val="00C46249"/>
    <w:rsid w:val="00C46286"/>
    <w:rsid w:val="00C47461"/>
    <w:rsid w:val="00C5065D"/>
    <w:rsid w:val="00C51625"/>
    <w:rsid w:val="00C51A16"/>
    <w:rsid w:val="00C5216C"/>
    <w:rsid w:val="00C52293"/>
    <w:rsid w:val="00C5236E"/>
    <w:rsid w:val="00C526F6"/>
    <w:rsid w:val="00C52AD7"/>
    <w:rsid w:val="00C533DC"/>
    <w:rsid w:val="00C5447F"/>
    <w:rsid w:val="00C551C3"/>
    <w:rsid w:val="00C55758"/>
    <w:rsid w:val="00C55F57"/>
    <w:rsid w:val="00C56477"/>
    <w:rsid w:val="00C56900"/>
    <w:rsid w:val="00C56A8D"/>
    <w:rsid w:val="00C56BF4"/>
    <w:rsid w:val="00C56CF8"/>
    <w:rsid w:val="00C56D44"/>
    <w:rsid w:val="00C603E3"/>
    <w:rsid w:val="00C60522"/>
    <w:rsid w:val="00C6096C"/>
    <w:rsid w:val="00C60A56"/>
    <w:rsid w:val="00C60C82"/>
    <w:rsid w:val="00C61727"/>
    <w:rsid w:val="00C617E5"/>
    <w:rsid w:val="00C61D77"/>
    <w:rsid w:val="00C62699"/>
    <w:rsid w:val="00C62836"/>
    <w:rsid w:val="00C62B08"/>
    <w:rsid w:val="00C62BC2"/>
    <w:rsid w:val="00C62E6F"/>
    <w:rsid w:val="00C630C5"/>
    <w:rsid w:val="00C63277"/>
    <w:rsid w:val="00C63365"/>
    <w:rsid w:val="00C6383D"/>
    <w:rsid w:val="00C64777"/>
    <w:rsid w:val="00C64796"/>
    <w:rsid w:val="00C648E8"/>
    <w:rsid w:val="00C64D83"/>
    <w:rsid w:val="00C65086"/>
    <w:rsid w:val="00C6515C"/>
    <w:rsid w:val="00C65E3D"/>
    <w:rsid w:val="00C66A92"/>
    <w:rsid w:val="00C6722C"/>
    <w:rsid w:val="00C67CDB"/>
    <w:rsid w:val="00C70339"/>
    <w:rsid w:val="00C70570"/>
    <w:rsid w:val="00C706F7"/>
    <w:rsid w:val="00C70984"/>
    <w:rsid w:val="00C70D08"/>
    <w:rsid w:val="00C717BD"/>
    <w:rsid w:val="00C728E8"/>
    <w:rsid w:val="00C72C98"/>
    <w:rsid w:val="00C72E1C"/>
    <w:rsid w:val="00C7303F"/>
    <w:rsid w:val="00C73054"/>
    <w:rsid w:val="00C73144"/>
    <w:rsid w:val="00C73558"/>
    <w:rsid w:val="00C735DC"/>
    <w:rsid w:val="00C73AA6"/>
    <w:rsid w:val="00C73CBF"/>
    <w:rsid w:val="00C74122"/>
    <w:rsid w:val="00C74299"/>
    <w:rsid w:val="00C7470F"/>
    <w:rsid w:val="00C74D1E"/>
    <w:rsid w:val="00C75779"/>
    <w:rsid w:val="00C7595B"/>
    <w:rsid w:val="00C75A58"/>
    <w:rsid w:val="00C75B13"/>
    <w:rsid w:val="00C75C71"/>
    <w:rsid w:val="00C75CE5"/>
    <w:rsid w:val="00C75F79"/>
    <w:rsid w:val="00C760EE"/>
    <w:rsid w:val="00C76681"/>
    <w:rsid w:val="00C80DE5"/>
    <w:rsid w:val="00C81482"/>
    <w:rsid w:val="00C815DB"/>
    <w:rsid w:val="00C81815"/>
    <w:rsid w:val="00C81895"/>
    <w:rsid w:val="00C819FB"/>
    <w:rsid w:val="00C82573"/>
    <w:rsid w:val="00C82DA6"/>
    <w:rsid w:val="00C82ED2"/>
    <w:rsid w:val="00C82FFC"/>
    <w:rsid w:val="00C83FC6"/>
    <w:rsid w:val="00C84046"/>
    <w:rsid w:val="00C84C56"/>
    <w:rsid w:val="00C85253"/>
    <w:rsid w:val="00C856CF"/>
    <w:rsid w:val="00C85F73"/>
    <w:rsid w:val="00C863BE"/>
    <w:rsid w:val="00C867E5"/>
    <w:rsid w:val="00C86BA1"/>
    <w:rsid w:val="00C87356"/>
    <w:rsid w:val="00C874C2"/>
    <w:rsid w:val="00C8755C"/>
    <w:rsid w:val="00C87651"/>
    <w:rsid w:val="00C87876"/>
    <w:rsid w:val="00C87A9B"/>
    <w:rsid w:val="00C87FA7"/>
    <w:rsid w:val="00C903E4"/>
    <w:rsid w:val="00C90CB8"/>
    <w:rsid w:val="00C91997"/>
    <w:rsid w:val="00C920AA"/>
    <w:rsid w:val="00C92194"/>
    <w:rsid w:val="00C92ED0"/>
    <w:rsid w:val="00C9318F"/>
    <w:rsid w:val="00C93844"/>
    <w:rsid w:val="00C93E1A"/>
    <w:rsid w:val="00C93E7D"/>
    <w:rsid w:val="00C94480"/>
    <w:rsid w:val="00C944AB"/>
    <w:rsid w:val="00C945BA"/>
    <w:rsid w:val="00C9542D"/>
    <w:rsid w:val="00C954F6"/>
    <w:rsid w:val="00C9559E"/>
    <w:rsid w:val="00C959D1"/>
    <w:rsid w:val="00C96005"/>
    <w:rsid w:val="00C9640C"/>
    <w:rsid w:val="00C96592"/>
    <w:rsid w:val="00C96F5F"/>
    <w:rsid w:val="00C9744B"/>
    <w:rsid w:val="00CA08A4"/>
    <w:rsid w:val="00CA0A04"/>
    <w:rsid w:val="00CA1701"/>
    <w:rsid w:val="00CA1FB0"/>
    <w:rsid w:val="00CA1FE8"/>
    <w:rsid w:val="00CA24FB"/>
    <w:rsid w:val="00CA2843"/>
    <w:rsid w:val="00CA363E"/>
    <w:rsid w:val="00CA4686"/>
    <w:rsid w:val="00CA47DE"/>
    <w:rsid w:val="00CA4FF8"/>
    <w:rsid w:val="00CA5066"/>
    <w:rsid w:val="00CA6724"/>
    <w:rsid w:val="00CA6907"/>
    <w:rsid w:val="00CA71B9"/>
    <w:rsid w:val="00CA79EA"/>
    <w:rsid w:val="00CB0616"/>
    <w:rsid w:val="00CB109E"/>
    <w:rsid w:val="00CB160E"/>
    <w:rsid w:val="00CB1F78"/>
    <w:rsid w:val="00CB2048"/>
    <w:rsid w:val="00CB2081"/>
    <w:rsid w:val="00CB23A9"/>
    <w:rsid w:val="00CB2509"/>
    <w:rsid w:val="00CB312F"/>
    <w:rsid w:val="00CB3D89"/>
    <w:rsid w:val="00CB47CD"/>
    <w:rsid w:val="00CB5D5C"/>
    <w:rsid w:val="00CB634F"/>
    <w:rsid w:val="00CB6482"/>
    <w:rsid w:val="00CB6485"/>
    <w:rsid w:val="00CB7687"/>
    <w:rsid w:val="00CB79CA"/>
    <w:rsid w:val="00CB7DB4"/>
    <w:rsid w:val="00CC019F"/>
    <w:rsid w:val="00CC02C3"/>
    <w:rsid w:val="00CC05BA"/>
    <w:rsid w:val="00CC0B6D"/>
    <w:rsid w:val="00CC0B77"/>
    <w:rsid w:val="00CC0CD9"/>
    <w:rsid w:val="00CC0E1B"/>
    <w:rsid w:val="00CC2401"/>
    <w:rsid w:val="00CC2BDF"/>
    <w:rsid w:val="00CC2F7B"/>
    <w:rsid w:val="00CC3610"/>
    <w:rsid w:val="00CC37F1"/>
    <w:rsid w:val="00CC3C13"/>
    <w:rsid w:val="00CC43A0"/>
    <w:rsid w:val="00CC4515"/>
    <w:rsid w:val="00CC5034"/>
    <w:rsid w:val="00CC51E3"/>
    <w:rsid w:val="00CC5424"/>
    <w:rsid w:val="00CC57D2"/>
    <w:rsid w:val="00CC5990"/>
    <w:rsid w:val="00CC5C4D"/>
    <w:rsid w:val="00CC5C4F"/>
    <w:rsid w:val="00CC5F52"/>
    <w:rsid w:val="00CC60D9"/>
    <w:rsid w:val="00CC622D"/>
    <w:rsid w:val="00CC6774"/>
    <w:rsid w:val="00CC688D"/>
    <w:rsid w:val="00CC6D1F"/>
    <w:rsid w:val="00CC70DC"/>
    <w:rsid w:val="00CC71C2"/>
    <w:rsid w:val="00CC7926"/>
    <w:rsid w:val="00CD111E"/>
    <w:rsid w:val="00CD1D0E"/>
    <w:rsid w:val="00CD1EA8"/>
    <w:rsid w:val="00CD1F3F"/>
    <w:rsid w:val="00CD2482"/>
    <w:rsid w:val="00CD2BB3"/>
    <w:rsid w:val="00CD2FBF"/>
    <w:rsid w:val="00CD38D8"/>
    <w:rsid w:val="00CD3E30"/>
    <w:rsid w:val="00CD41BC"/>
    <w:rsid w:val="00CD44FE"/>
    <w:rsid w:val="00CD645C"/>
    <w:rsid w:val="00CD7815"/>
    <w:rsid w:val="00CD7D11"/>
    <w:rsid w:val="00CE0056"/>
    <w:rsid w:val="00CE049C"/>
    <w:rsid w:val="00CE0B4A"/>
    <w:rsid w:val="00CE0E03"/>
    <w:rsid w:val="00CE0FE1"/>
    <w:rsid w:val="00CE2146"/>
    <w:rsid w:val="00CE22D1"/>
    <w:rsid w:val="00CE24AE"/>
    <w:rsid w:val="00CE28D3"/>
    <w:rsid w:val="00CE2F20"/>
    <w:rsid w:val="00CE32F0"/>
    <w:rsid w:val="00CE335E"/>
    <w:rsid w:val="00CE337B"/>
    <w:rsid w:val="00CE367E"/>
    <w:rsid w:val="00CE3740"/>
    <w:rsid w:val="00CE3DC5"/>
    <w:rsid w:val="00CE3E7A"/>
    <w:rsid w:val="00CE4194"/>
    <w:rsid w:val="00CE56C0"/>
    <w:rsid w:val="00CE5894"/>
    <w:rsid w:val="00CE59BD"/>
    <w:rsid w:val="00CE6310"/>
    <w:rsid w:val="00CE68D8"/>
    <w:rsid w:val="00CE68F2"/>
    <w:rsid w:val="00CE6B76"/>
    <w:rsid w:val="00CE7221"/>
    <w:rsid w:val="00CE7789"/>
    <w:rsid w:val="00CE787F"/>
    <w:rsid w:val="00CF004E"/>
    <w:rsid w:val="00CF0467"/>
    <w:rsid w:val="00CF0BAE"/>
    <w:rsid w:val="00CF1141"/>
    <w:rsid w:val="00CF1400"/>
    <w:rsid w:val="00CF1663"/>
    <w:rsid w:val="00CF1FC1"/>
    <w:rsid w:val="00CF2368"/>
    <w:rsid w:val="00CF2C5B"/>
    <w:rsid w:val="00CF38E7"/>
    <w:rsid w:val="00CF3BDF"/>
    <w:rsid w:val="00CF43C9"/>
    <w:rsid w:val="00CF4EF5"/>
    <w:rsid w:val="00CF5129"/>
    <w:rsid w:val="00CF535D"/>
    <w:rsid w:val="00CF542E"/>
    <w:rsid w:val="00CF5490"/>
    <w:rsid w:val="00CF5610"/>
    <w:rsid w:val="00CF5725"/>
    <w:rsid w:val="00CF57CB"/>
    <w:rsid w:val="00CF5994"/>
    <w:rsid w:val="00CF5D1E"/>
    <w:rsid w:val="00CF5D8B"/>
    <w:rsid w:val="00CF638F"/>
    <w:rsid w:val="00CF66C6"/>
    <w:rsid w:val="00CF6A79"/>
    <w:rsid w:val="00CF6BAF"/>
    <w:rsid w:val="00CF7085"/>
    <w:rsid w:val="00CF7178"/>
    <w:rsid w:val="00CF742B"/>
    <w:rsid w:val="00CF7435"/>
    <w:rsid w:val="00CF7700"/>
    <w:rsid w:val="00D005D5"/>
    <w:rsid w:val="00D00F87"/>
    <w:rsid w:val="00D01738"/>
    <w:rsid w:val="00D01863"/>
    <w:rsid w:val="00D01B83"/>
    <w:rsid w:val="00D02105"/>
    <w:rsid w:val="00D02B53"/>
    <w:rsid w:val="00D02E8E"/>
    <w:rsid w:val="00D04047"/>
    <w:rsid w:val="00D0420A"/>
    <w:rsid w:val="00D042C4"/>
    <w:rsid w:val="00D044B7"/>
    <w:rsid w:val="00D04547"/>
    <w:rsid w:val="00D04549"/>
    <w:rsid w:val="00D04AEB"/>
    <w:rsid w:val="00D04B4F"/>
    <w:rsid w:val="00D0538C"/>
    <w:rsid w:val="00D055E4"/>
    <w:rsid w:val="00D0582B"/>
    <w:rsid w:val="00D05923"/>
    <w:rsid w:val="00D059E1"/>
    <w:rsid w:val="00D05F14"/>
    <w:rsid w:val="00D06C88"/>
    <w:rsid w:val="00D06FA2"/>
    <w:rsid w:val="00D07272"/>
    <w:rsid w:val="00D07886"/>
    <w:rsid w:val="00D07B0F"/>
    <w:rsid w:val="00D07D81"/>
    <w:rsid w:val="00D10102"/>
    <w:rsid w:val="00D108B6"/>
    <w:rsid w:val="00D10EAA"/>
    <w:rsid w:val="00D1137F"/>
    <w:rsid w:val="00D11C1E"/>
    <w:rsid w:val="00D12D52"/>
    <w:rsid w:val="00D12FAF"/>
    <w:rsid w:val="00D132DF"/>
    <w:rsid w:val="00D134EE"/>
    <w:rsid w:val="00D13767"/>
    <w:rsid w:val="00D13C9A"/>
    <w:rsid w:val="00D142B5"/>
    <w:rsid w:val="00D1436F"/>
    <w:rsid w:val="00D14687"/>
    <w:rsid w:val="00D14949"/>
    <w:rsid w:val="00D14F69"/>
    <w:rsid w:val="00D155B1"/>
    <w:rsid w:val="00D155D6"/>
    <w:rsid w:val="00D155FF"/>
    <w:rsid w:val="00D1570B"/>
    <w:rsid w:val="00D158C4"/>
    <w:rsid w:val="00D15A94"/>
    <w:rsid w:val="00D15BE8"/>
    <w:rsid w:val="00D15C2E"/>
    <w:rsid w:val="00D162BA"/>
    <w:rsid w:val="00D1662B"/>
    <w:rsid w:val="00D167EF"/>
    <w:rsid w:val="00D16A7B"/>
    <w:rsid w:val="00D17CE7"/>
    <w:rsid w:val="00D17CF4"/>
    <w:rsid w:val="00D202D9"/>
    <w:rsid w:val="00D203F4"/>
    <w:rsid w:val="00D204D7"/>
    <w:rsid w:val="00D205A1"/>
    <w:rsid w:val="00D20941"/>
    <w:rsid w:val="00D20BE6"/>
    <w:rsid w:val="00D20C5A"/>
    <w:rsid w:val="00D20F9A"/>
    <w:rsid w:val="00D216F7"/>
    <w:rsid w:val="00D21747"/>
    <w:rsid w:val="00D2174A"/>
    <w:rsid w:val="00D217F5"/>
    <w:rsid w:val="00D21EAA"/>
    <w:rsid w:val="00D22080"/>
    <w:rsid w:val="00D225B0"/>
    <w:rsid w:val="00D22840"/>
    <w:rsid w:val="00D2300E"/>
    <w:rsid w:val="00D230A8"/>
    <w:rsid w:val="00D23396"/>
    <w:rsid w:val="00D235DE"/>
    <w:rsid w:val="00D23A2D"/>
    <w:rsid w:val="00D23DF4"/>
    <w:rsid w:val="00D243AC"/>
    <w:rsid w:val="00D2498E"/>
    <w:rsid w:val="00D24AEF"/>
    <w:rsid w:val="00D251F1"/>
    <w:rsid w:val="00D252BA"/>
    <w:rsid w:val="00D257AC"/>
    <w:rsid w:val="00D25882"/>
    <w:rsid w:val="00D261AE"/>
    <w:rsid w:val="00D264DB"/>
    <w:rsid w:val="00D26B47"/>
    <w:rsid w:val="00D26BFE"/>
    <w:rsid w:val="00D27674"/>
    <w:rsid w:val="00D27BA0"/>
    <w:rsid w:val="00D27BA9"/>
    <w:rsid w:val="00D32894"/>
    <w:rsid w:val="00D32AAC"/>
    <w:rsid w:val="00D33232"/>
    <w:rsid w:val="00D337FE"/>
    <w:rsid w:val="00D33934"/>
    <w:rsid w:val="00D339BD"/>
    <w:rsid w:val="00D33A10"/>
    <w:rsid w:val="00D33FB4"/>
    <w:rsid w:val="00D3434C"/>
    <w:rsid w:val="00D348D5"/>
    <w:rsid w:val="00D34972"/>
    <w:rsid w:val="00D349AA"/>
    <w:rsid w:val="00D369C2"/>
    <w:rsid w:val="00D3705D"/>
    <w:rsid w:val="00D37C09"/>
    <w:rsid w:val="00D37E6F"/>
    <w:rsid w:val="00D40021"/>
    <w:rsid w:val="00D40B84"/>
    <w:rsid w:val="00D40BC5"/>
    <w:rsid w:val="00D40F49"/>
    <w:rsid w:val="00D41572"/>
    <w:rsid w:val="00D41BD7"/>
    <w:rsid w:val="00D41E22"/>
    <w:rsid w:val="00D423EE"/>
    <w:rsid w:val="00D434E1"/>
    <w:rsid w:val="00D43635"/>
    <w:rsid w:val="00D43C46"/>
    <w:rsid w:val="00D43F04"/>
    <w:rsid w:val="00D43FEB"/>
    <w:rsid w:val="00D46C23"/>
    <w:rsid w:val="00D46D4B"/>
    <w:rsid w:val="00D46D72"/>
    <w:rsid w:val="00D47F60"/>
    <w:rsid w:val="00D50364"/>
    <w:rsid w:val="00D50373"/>
    <w:rsid w:val="00D51163"/>
    <w:rsid w:val="00D51232"/>
    <w:rsid w:val="00D5140C"/>
    <w:rsid w:val="00D5191F"/>
    <w:rsid w:val="00D5192D"/>
    <w:rsid w:val="00D52B50"/>
    <w:rsid w:val="00D52E3A"/>
    <w:rsid w:val="00D53839"/>
    <w:rsid w:val="00D538EB"/>
    <w:rsid w:val="00D53F42"/>
    <w:rsid w:val="00D54139"/>
    <w:rsid w:val="00D54977"/>
    <w:rsid w:val="00D54A3C"/>
    <w:rsid w:val="00D555FC"/>
    <w:rsid w:val="00D55CD2"/>
    <w:rsid w:val="00D5602C"/>
    <w:rsid w:val="00D56CA1"/>
    <w:rsid w:val="00D57885"/>
    <w:rsid w:val="00D60F03"/>
    <w:rsid w:val="00D60F73"/>
    <w:rsid w:val="00D6166E"/>
    <w:rsid w:val="00D61727"/>
    <w:rsid w:val="00D61AA2"/>
    <w:rsid w:val="00D62270"/>
    <w:rsid w:val="00D623D2"/>
    <w:rsid w:val="00D62BF2"/>
    <w:rsid w:val="00D630F1"/>
    <w:rsid w:val="00D633F3"/>
    <w:rsid w:val="00D63546"/>
    <w:rsid w:val="00D638FE"/>
    <w:rsid w:val="00D63B95"/>
    <w:rsid w:val="00D64C90"/>
    <w:rsid w:val="00D65A80"/>
    <w:rsid w:val="00D6614A"/>
    <w:rsid w:val="00D661A4"/>
    <w:rsid w:val="00D6656B"/>
    <w:rsid w:val="00D66DE0"/>
    <w:rsid w:val="00D66FA0"/>
    <w:rsid w:val="00D66FDE"/>
    <w:rsid w:val="00D673C4"/>
    <w:rsid w:val="00D676BA"/>
    <w:rsid w:val="00D70C24"/>
    <w:rsid w:val="00D7123B"/>
    <w:rsid w:val="00D71E6E"/>
    <w:rsid w:val="00D72067"/>
    <w:rsid w:val="00D721C8"/>
    <w:rsid w:val="00D7251C"/>
    <w:rsid w:val="00D72601"/>
    <w:rsid w:val="00D72AE3"/>
    <w:rsid w:val="00D73020"/>
    <w:rsid w:val="00D737B3"/>
    <w:rsid w:val="00D73BC8"/>
    <w:rsid w:val="00D74A8B"/>
    <w:rsid w:val="00D75B4C"/>
    <w:rsid w:val="00D75B8E"/>
    <w:rsid w:val="00D766F9"/>
    <w:rsid w:val="00D76CCB"/>
    <w:rsid w:val="00D76EDA"/>
    <w:rsid w:val="00D77BB3"/>
    <w:rsid w:val="00D77E11"/>
    <w:rsid w:val="00D80646"/>
    <w:rsid w:val="00D80B56"/>
    <w:rsid w:val="00D80D65"/>
    <w:rsid w:val="00D80DB3"/>
    <w:rsid w:val="00D810F1"/>
    <w:rsid w:val="00D81A50"/>
    <w:rsid w:val="00D81B43"/>
    <w:rsid w:val="00D82C45"/>
    <w:rsid w:val="00D8307A"/>
    <w:rsid w:val="00D83C1D"/>
    <w:rsid w:val="00D84C8D"/>
    <w:rsid w:val="00D8511A"/>
    <w:rsid w:val="00D85283"/>
    <w:rsid w:val="00D85D84"/>
    <w:rsid w:val="00D86464"/>
    <w:rsid w:val="00D86E2C"/>
    <w:rsid w:val="00D8786E"/>
    <w:rsid w:val="00D9020E"/>
    <w:rsid w:val="00D908EB"/>
    <w:rsid w:val="00D90D47"/>
    <w:rsid w:val="00D913F2"/>
    <w:rsid w:val="00D91943"/>
    <w:rsid w:val="00D91D8D"/>
    <w:rsid w:val="00D920BB"/>
    <w:rsid w:val="00D92407"/>
    <w:rsid w:val="00D92411"/>
    <w:rsid w:val="00D930D1"/>
    <w:rsid w:val="00D931B4"/>
    <w:rsid w:val="00D93578"/>
    <w:rsid w:val="00D93DB5"/>
    <w:rsid w:val="00D94647"/>
    <w:rsid w:val="00D95158"/>
    <w:rsid w:val="00D95446"/>
    <w:rsid w:val="00D95DD6"/>
    <w:rsid w:val="00D96106"/>
    <w:rsid w:val="00D9652B"/>
    <w:rsid w:val="00D9715A"/>
    <w:rsid w:val="00D97861"/>
    <w:rsid w:val="00D97E60"/>
    <w:rsid w:val="00DA0055"/>
    <w:rsid w:val="00DA03C0"/>
    <w:rsid w:val="00DA07FA"/>
    <w:rsid w:val="00DA0A8C"/>
    <w:rsid w:val="00DA1326"/>
    <w:rsid w:val="00DA20C0"/>
    <w:rsid w:val="00DA21E2"/>
    <w:rsid w:val="00DA231A"/>
    <w:rsid w:val="00DA257B"/>
    <w:rsid w:val="00DA2B7C"/>
    <w:rsid w:val="00DA2E6A"/>
    <w:rsid w:val="00DA3349"/>
    <w:rsid w:val="00DA3696"/>
    <w:rsid w:val="00DA3F10"/>
    <w:rsid w:val="00DA411D"/>
    <w:rsid w:val="00DA465F"/>
    <w:rsid w:val="00DA49BC"/>
    <w:rsid w:val="00DA4A8B"/>
    <w:rsid w:val="00DA4F6F"/>
    <w:rsid w:val="00DA518C"/>
    <w:rsid w:val="00DA5307"/>
    <w:rsid w:val="00DA5489"/>
    <w:rsid w:val="00DA54E2"/>
    <w:rsid w:val="00DA577B"/>
    <w:rsid w:val="00DA68C8"/>
    <w:rsid w:val="00DA6A97"/>
    <w:rsid w:val="00DA7086"/>
    <w:rsid w:val="00DA7296"/>
    <w:rsid w:val="00DA72CB"/>
    <w:rsid w:val="00DA7B46"/>
    <w:rsid w:val="00DA7BD0"/>
    <w:rsid w:val="00DA7F22"/>
    <w:rsid w:val="00DA7FC8"/>
    <w:rsid w:val="00DB05FF"/>
    <w:rsid w:val="00DB0FFF"/>
    <w:rsid w:val="00DB1FC4"/>
    <w:rsid w:val="00DB27D0"/>
    <w:rsid w:val="00DB2822"/>
    <w:rsid w:val="00DB2B5C"/>
    <w:rsid w:val="00DB2F52"/>
    <w:rsid w:val="00DB32A0"/>
    <w:rsid w:val="00DB338F"/>
    <w:rsid w:val="00DB3FEA"/>
    <w:rsid w:val="00DB4349"/>
    <w:rsid w:val="00DB4538"/>
    <w:rsid w:val="00DB4571"/>
    <w:rsid w:val="00DB474E"/>
    <w:rsid w:val="00DB4A49"/>
    <w:rsid w:val="00DB4B57"/>
    <w:rsid w:val="00DB55BD"/>
    <w:rsid w:val="00DB579B"/>
    <w:rsid w:val="00DB58B1"/>
    <w:rsid w:val="00DB5BFA"/>
    <w:rsid w:val="00DB5FD7"/>
    <w:rsid w:val="00DB6683"/>
    <w:rsid w:val="00DB6FDC"/>
    <w:rsid w:val="00DB7B2D"/>
    <w:rsid w:val="00DB7B79"/>
    <w:rsid w:val="00DB7EA4"/>
    <w:rsid w:val="00DC033D"/>
    <w:rsid w:val="00DC07DB"/>
    <w:rsid w:val="00DC0ABC"/>
    <w:rsid w:val="00DC0BC5"/>
    <w:rsid w:val="00DC0C41"/>
    <w:rsid w:val="00DC0DE5"/>
    <w:rsid w:val="00DC0E80"/>
    <w:rsid w:val="00DC19D5"/>
    <w:rsid w:val="00DC1B5F"/>
    <w:rsid w:val="00DC1E75"/>
    <w:rsid w:val="00DC313C"/>
    <w:rsid w:val="00DC3260"/>
    <w:rsid w:val="00DC3834"/>
    <w:rsid w:val="00DC3CED"/>
    <w:rsid w:val="00DC4024"/>
    <w:rsid w:val="00DC408E"/>
    <w:rsid w:val="00DC4504"/>
    <w:rsid w:val="00DC47B5"/>
    <w:rsid w:val="00DC4BA1"/>
    <w:rsid w:val="00DC4D1A"/>
    <w:rsid w:val="00DC55B1"/>
    <w:rsid w:val="00DC573C"/>
    <w:rsid w:val="00DC60A2"/>
    <w:rsid w:val="00DC64ED"/>
    <w:rsid w:val="00DC6D7A"/>
    <w:rsid w:val="00DC6F8A"/>
    <w:rsid w:val="00DD0A98"/>
    <w:rsid w:val="00DD0D81"/>
    <w:rsid w:val="00DD10C6"/>
    <w:rsid w:val="00DD13F7"/>
    <w:rsid w:val="00DD1461"/>
    <w:rsid w:val="00DD18FC"/>
    <w:rsid w:val="00DD1E86"/>
    <w:rsid w:val="00DD1EDA"/>
    <w:rsid w:val="00DD22C1"/>
    <w:rsid w:val="00DD23B0"/>
    <w:rsid w:val="00DD24EF"/>
    <w:rsid w:val="00DD2886"/>
    <w:rsid w:val="00DD2A2C"/>
    <w:rsid w:val="00DD2C00"/>
    <w:rsid w:val="00DD373A"/>
    <w:rsid w:val="00DD39CD"/>
    <w:rsid w:val="00DD4041"/>
    <w:rsid w:val="00DD48AE"/>
    <w:rsid w:val="00DD48C0"/>
    <w:rsid w:val="00DD49FC"/>
    <w:rsid w:val="00DD4BE4"/>
    <w:rsid w:val="00DD58AD"/>
    <w:rsid w:val="00DD60B4"/>
    <w:rsid w:val="00DD6416"/>
    <w:rsid w:val="00DD6DE1"/>
    <w:rsid w:val="00DD7083"/>
    <w:rsid w:val="00DD73E7"/>
    <w:rsid w:val="00DD7458"/>
    <w:rsid w:val="00DD75F9"/>
    <w:rsid w:val="00DD7FBF"/>
    <w:rsid w:val="00DE136E"/>
    <w:rsid w:val="00DE1D81"/>
    <w:rsid w:val="00DE24DA"/>
    <w:rsid w:val="00DE2608"/>
    <w:rsid w:val="00DE285D"/>
    <w:rsid w:val="00DE3209"/>
    <w:rsid w:val="00DE3D73"/>
    <w:rsid w:val="00DE408F"/>
    <w:rsid w:val="00DE49A1"/>
    <w:rsid w:val="00DE4BBC"/>
    <w:rsid w:val="00DE52A6"/>
    <w:rsid w:val="00DE5360"/>
    <w:rsid w:val="00DE5BB0"/>
    <w:rsid w:val="00DE66C5"/>
    <w:rsid w:val="00DE67E8"/>
    <w:rsid w:val="00DE6D21"/>
    <w:rsid w:val="00DE6DA8"/>
    <w:rsid w:val="00DE6DC9"/>
    <w:rsid w:val="00DE6EE2"/>
    <w:rsid w:val="00DE6EE3"/>
    <w:rsid w:val="00DE7275"/>
    <w:rsid w:val="00DE7430"/>
    <w:rsid w:val="00DE75B8"/>
    <w:rsid w:val="00DE7C31"/>
    <w:rsid w:val="00DE7EEB"/>
    <w:rsid w:val="00DF0827"/>
    <w:rsid w:val="00DF0888"/>
    <w:rsid w:val="00DF0CEC"/>
    <w:rsid w:val="00DF1503"/>
    <w:rsid w:val="00DF186C"/>
    <w:rsid w:val="00DF228F"/>
    <w:rsid w:val="00DF2A85"/>
    <w:rsid w:val="00DF2B0B"/>
    <w:rsid w:val="00DF2FE8"/>
    <w:rsid w:val="00DF3CC6"/>
    <w:rsid w:val="00DF40B6"/>
    <w:rsid w:val="00DF4578"/>
    <w:rsid w:val="00DF4EEB"/>
    <w:rsid w:val="00DF4F2A"/>
    <w:rsid w:val="00DF5671"/>
    <w:rsid w:val="00DF5701"/>
    <w:rsid w:val="00DF660D"/>
    <w:rsid w:val="00DF6742"/>
    <w:rsid w:val="00DF6FB2"/>
    <w:rsid w:val="00DF7266"/>
    <w:rsid w:val="00DF7808"/>
    <w:rsid w:val="00DF7907"/>
    <w:rsid w:val="00E001AE"/>
    <w:rsid w:val="00E00AF3"/>
    <w:rsid w:val="00E00BC3"/>
    <w:rsid w:val="00E00D42"/>
    <w:rsid w:val="00E02271"/>
    <w:rsid w:val="00E026EC"/>
    <w:rsid w:val="00E02945"/>
    <w:rsid w:val="00E02B6B"/>
    <w:rsid w:val="00E03597"/>
    <w:rsid w:val="00E03A18"/>
    <w:rsid w:val="00E03A27"/>
    <w:rsid w:val="00E04051"/>
    <w:rsid w:val="00E046E1"/>
    <w:rsid w:val="00E04EC7"/>
    <w:rsid w:val="00E05D0D"/>
    <w:rsid w:val="00E06657"/>
    <w:rsid w:val="00E06964"/>
    <w:rsid w:val="00E069D2"/>
    <w:rsid w:val="00E06EAC"/>
    <w:rsid w:val="00E07268"/>
    <w:rsid w:val="00E073CC"/>
    <w:rsid w:val="00E07EC2"/>
    <w:rsid w:val="00E10154"/>
    <w:rsid w:val="00E10FBF"/>
    <w:rsid w:val="00E114CE"/>
    <w:rsid w:val="00E115F9"/>
    <w:rsid w:val="00E119A7"/>
    <w:rsid w:val="00E11F8C"/>
    <w:rsid w:val="00E12082"/>
    <w:rsid w:val="00E1245D"/>
    <w:rsid w:val="00E13427"/>
    <w:rsid w:val="00E1347B"/>
    <w:rsid w:val="00E13AB5"/>
    <w:rsid w:val="00E13F9A"/>
    <w:rsid w:val="00E1407C"/>
    <w:rsid w:val="00E14145"/>
    <w:rsid w:val="00E1428E"/>
    <w:rsid w:val="00E1566E"/>
    <w:rsid w:val="00E156B3"/>
    <w:rsid w:val="00E15BA2"/>
    <w:rsid w:val="00E16142"/>
    <w:rsid w:val="00E1691F"/>
    <w:rsid w:val="00E16B4B"/>
    <w:rsid w:val="00E16FC7"/>
    <w:rsid w:val="00E17B00"/>
    <w:rsid w:val="00E17C37"/>
    <w:rsid w:val="00E205D5"/>
    <w:rsid w:val="00E20ED5"/>
    <w:rsid w:val="00E21F23"/>
    <w:rsid w:val="00E2202D"/>
    <w:rsid w:val="00E22585"/>
    <w:rsid w:val="00E22AEA"/>
    <w:rsid w:val="00E23109"/>
    <w:rsid w:val="00E2337E"/>
    <w:rsid w:val="00E23AC1"/>
    <w:rsid w:val="00E23D41"/>
    <w:rsid w:val="00E24CCC"/>
    <w:rsid w:val="00E24E07"/>
    <w:rsid w:val="00E2507E"/>
    <w:rsid w:val="00E2508E"/>
    <w:rsid w:val="00E254A8"/>
    <w:rsid w:val="00E2558C"/>
    <w:rsid w:val="00E25BF6"/>
    <w:rsid w:val="00E2615F"/>
    <w:rsid w:val="00E26269"/>
    <w:rsid w:val="00E26898"/>
    <w:rsid w:val="00E2695D"/>
    <w:rsid w:val="00E26CE7"/>
    <w:rsid w:val="00E26F87"/>
    <w:rsid w:val="00E26F9B"/>
    <w:rsid w:val="00E305B3"/>
    <w:rsid w:val="00E31586"/>
    <w:rsid w:val="00E31640"/>
    <w:rsid w:val="00E317D1"/>
    <w:rsid w:val="00E3189F"/>
    <w:rsid w:val="00E32937"/>
    <w:rsid w:val="00E32EFF"/>
    <w:rsid w:val="00E32F91"/>
    <w:rsid w:val="00E333B4"/>
    <w:rsid w:val="00E33664"/>
    <w:rsid w:val="00E3367E"/>
    <w:rsid w:val="00E33866"/>
    <w:rsid w:val="00E345DA"/>
    <w:rsid w:val="00E34769"/>
    <w:rsid w:val="00E34D14"/>
    <w:rsid w:val="00E34ECE"/>
    <w:rsid w:val="00E34F62"/>
    <w:rsid w:val="00E35FDE"/>
    <w:rsid w:val="00E3623A"/>
    <w:rsid w:val="00E364AC"/>
    <w:rsid w:val="00E36697"/>
    <w:rsid w:val="00E367F4"/>
    <w:rsid w:val="00E37241"/>
    <w:rsid w:val="00E379BD"/>
    <w:rsid w:val="00E40477"/>
    <w:rsid w:val="00E4213F"/>
    <w:rsid w:val="00E4250C"/>
    <w:rsid w:val="00E425BF"/>
    <w:rsid w:val="00E42F26"/>
    <w:rsid w:val="00E43D9C"/>
    <w:rsid w:val="00E445A7"/>
    <w:rsid w:val="00E44BBF"/>
    <w:rsid w:val="00E457C4"/>
    <w:rsid w:val="00E45B7A"/>
    <w:rsid w:val="00E45C73"/>
    <w:rsid w:val="00E46192"/>
    <w:rsid w:val="00E462FC"/>
    <w:rsid w:val="00E46C17"/>
    <w:rsid w:val="00E46CE1"/>
    <w:rsid w:val="00E475AB"/>
    <w:rsid w:val="00E50D56"/>
    <w:rsid w:val="00E510A7"/>
    <w:rsid w:val="00E513A7"/>
    <w:rsid w:val="00E516C4"/>
    <w:rsid w:val="00E52492"/>
    <w:rsid w:val="00E5325A"/>
    <w:rsid w:val="00E5341B"/>
    <w:rsid w:val="00E53EC4"/>
    <w:rsid w:val="00E540CA"/>
    <w:rsid w:val="00E542F0"/>
    <w:rsid w:val="00E5446A"/>
    <w:rsid w:val="00E54501"/>
    <w:rsid w:val="00E54C1A"/>
    <w:rsid w:val="00E550B5"/>
    <w:rsid w:val="00E5604F"/>
    <w:rsid w:val="00E563C3"/>
    <w:rsid w:val="00E5641A"/>
    <w:rsid w:val="00E56508"/>
    <w:rsid w:val="00E5658E"/>
    <w:rsid w:val="00E56834"/>
    <w:rsid w:val="00E573EC"/>
    <w:rsid w:val="00E60A6C"/>
    <w:rsid w:val="00E61A50"/>
    <w:rsid w:val="00E61D9E"/>
    <w:rsid w:val="00E61E58"/>
    <w:rsid w:val="00E61E5A"/>
    <w:rsid w:val="00E623E9"/>
    <w:rsid w:val="00E624F5"/>
    <w:rsid w:val="00E6279B"/>
    <w:rsid w:val="00E63047"/>
    <w:rsid w:val="00E63298"/>
    <w:rsid w:val="00E6333D"/>
    <w:rsid w:val="00E64164"/>
    <w:rsid w:val="00E6429F"/>
    <w:rsid w:val="00E6461E"/>
    <w:rsid w:val="00E649E7"/>
    <w:rsid w:val="00E64DFE"/>
    <w:rsid w:val="00E64E4B"/>
    <w:rsid w:val="00E6531C"/>
    <w:rsid w:val="00E65C8D"/>
    <w:rsid w:val="00E67B68"/>
    <w:rsid w:val="00E67C05"/>
    <w:rsid w:val="00E7038B"/>
    <w:rsid w:val="00E7066F"/>
    <w:rsid w:val="00E70732"/>
    <w:rsid w:val="00E7095F"/>
    <w:rsid w:val="00E70973"/>
    <w:rsid w:val="00E70D69"/>
    <w:rsid w:val="00E70ED2"/>
    <w:rsid w:val="00E713E5"/>
    <w:rsid w:val="00E715E1"/>
    <w:rsid w:val="00E71829"/>
    <w:rsid w:val="00E71B45"/>
    <w:rsid w:val="00E71DC2"/>
    <w:rsid w:val="00E72268"/>
    <w:rsid w:val="00E72524"/>
    <w:rsid w:val="00E72D6F"/>
    <w:rsid w:val="00E731E7"/>
    <w:rsid w:val="00E7388D"/>
    <w:rsid w:val="00E7457B"/>
    <w:rsid w:val="00E74D21"/>
    <w:rsid w:val="00E74FBA"/>
    <w:rsid w:val="00E75863"/>
    <w:rsid w:val="00E75ACB"/>
    <w:rsid w:val="00E75BBD"/>
    <w:rsid w:val="00E761DF"/>
    <w:rsid w:val="00E7620C"/>
    <w:rsid w:val="00E7656E"/>
    <w:rsid w:val="00E76747"/>
    <w:rsid w:val="00E7683F"/>
    <w:rsid w:val="00E76BD2"/>
    <w:rsid w:val="00E76C7F"/>
    <w:rsid w:val="00E77BC5"/>
    <w:rsid w:val="00E802D6"/>
    <w:rsid w:val="00E80681"/>
    <w:rsid w:val="00E806F8"/>
    <w:rsid w:val="00E8075A"/>
    <w:rsid w:val="00E80D49"/>
    <w:rsid w:val="00E80F24"/>
    <w:rsid w:val="00E816E9"/>
    <w:rsid w:val="00E81F20"/>
    <w:rsid w:val="00E822FF"/>
    <w:rsid w:val="00E82B09"/>
    <w:rsid w:val="00E830A2"/>
    <w:rsid w:val="00E833B5"/>
    <w:rsid w:val="00E842AC"/>
    <w:rsid w:val="00E8467E"/>
    <w:rsid w:val="00E8527D"/>
    <w:rsid w:val="00E85401"/>
    <w:rsid w:val="00E85648"/>
    <w:rsid w:val="00E856A7"/>
    <w:rsid w:val="00E862A5"/>
    <w:rsid w:val="00E86F5C"/>
    <w:rsid w:val="00E87132"/>
    <w:rsid w:val="00E87A08"/>
    <w:rsid w:val="00E87C85"/>
    <w:rsid w:val="00E87EFA"/>
    <w:rsid w:val="00E90383"/>
    <w:rsid w:val="00E904F3"/>
    <w:rsid w:val="00E90EE0"/>
    <w:rsid w:val="00E9139E"/>
    <w:rsid w:val="00E91477"/>
    <w:rsid w:val="00E922C5"/>
    <w:rsid w:val="00E92471"/>
    <w:rsid w:val="00E92956"/>
    <w:rsid w:val="00E9309A"/>
    <w:rsid w:val="00E937EF"/>
    <w:rsid w:val="00E93938"/>
    <w:rsid w:val="00E94156"/>
    <w:rsid w:val="00E9438F"/>
    <w:rsid w:val="00E94FCA"/>
    <w:rsid w:val="00E955E9"/>
    <w:rsid w:val="00E959C7"/>
    <w:rsid w:val="00E95E51"/>
    <w:rsid w:val="00E968B0"/>
    <w:rsid w:val="00E968ED"/>
    <w:rsid w:val="00E96969"/>
    <w:rsid w:val="00E96E04"/>
    <w:rsid w:val="00E976AD"/>
    <w:rsid w:val="00E97E4F"/>
    <w:rsid w:val="00EA0D9E"/>
    <w:rsid w:val="00EA0ED7"/>
    <w:rsid w:val="00EA2669"/>
    <w:rsid w:val="00EA3477"/>
    <w:rsid w:val="00EA392B"/>
    <w:rsid w:val="00EA3B1A"/>
    <w:rsid w:val="00EA3CFC"/>
    <w:rsid w:val="00EA413E"/>
    <w:rsid w:val="00EA48B9"/>
    <w:rsid w:val="00EA48DE"/>
    <w:rsid w:val="00EA49E5"/>
    <w:rsid w:val="00EA5111"/>
    <w:rsid w:val="00EA55DB"/>
    <w:rsid w:val="00EA5696"/>
    <w:rsid w:val="00EA575F"/>
    <w:rsid w:val="00EA5E0C"/>
    <w:rsid w:val="00EA61A0"/>
    <w:rsid w:val="00EA66CB"/>
    <w:rsid w:val="00EA6FDA"/>
    <w:rsid w:val="00EA70F9"/>
    <w:rsid w:val="00EA71E3"/>
    <w:rsid w:val="00EA74BF"/>
    <w:rsid w:val="00EA7659"/>
    <w:rsid w:val="00EA77A2"/>
    <w:rsid w:val="00EA7A82"/>
    <w:rsid w:val="00EA7B40"/>
    <w:rsid w:val="00EB1B5D"/>
    <w:rsid w:val="00EB1F13"/>
    <w:rsid w:val="00EB21A6"/>
    <w:rsid w:val="00EB2423"/>
    <w:rsid w:val="00EB363C"/>
    <w:rsid w:val="00EB3BB2"/>
    <w:rsid w:val="00EB3E5F"/>
    <w:rsid w:val="00EB3E65"/>
    <w:rsid w:val="00EB3EB5"/>
    <w:rsid w:val="00EB481C"/>
    <w:rsid w:val="00EB49E0"/>
    <w:rsid w:val="00EB51DD"/>
    <w:rsid w:val="00EB5F89"/>
    <w:rsid w:val="00EB61D1"/>
    <w:rsid w:val="00EB627E"/>
    <w:rsid w:val="00EB643F"/>
    <w:rsid w:val="00EB6FAC"/>
    <w:rsid w:val="00EB74FC"/>
    <w:rsid w:val="00EB7582"/>
    <w:rsid w:val="00EB7844"/>
    <w:rsid w:val="00EB7B8A"/>
    <w:rsid w:val="00EB7BA6"/>
    <w:rsid w:val="00EB7D94"/>
    <w:rsid w:val="00EC0663"/>
    <w:rsid w:val="00EC0C07"/>
    <w:rsid w:val="00EC0ECE"/>
    <w:rsid w:val="00EC2262"/>
    <w:rsid w:val="00EC3574"/>
    <w:rsid w:val="00EC3E5A"/>
    <w:rsid w:val="00EC488B"/>
    <w:rsid w:val="00EC574C"/>
    <w:rsid w:val="00EC5EA4"/>
    <w:rsid w:val="00EC665B"/>
    <w:rsid w:val="00EC66C7"/>
    <w:rsid w:val="00EC723B"/>
    <w:rsid w:val="00EC74BB"/>
    <w:rsid w:val="00EC7B1D"/>
    <w:rsid w:val="00EC7CF3"/>
    <w:rsid w:val="00ED0022"/>
    <w:rsid w:val="00ED05EE"/>
    <w:rsid w:val="00ED0860"/>
    <w:rsid w:val="00ED0C55"/>
    <w:rsid w:val="00ED0E80"/>
    <w:rsid w:val="00ED191C"/>
    <w:rsid w:val="00ED191D"/>
    <w:rsid w:val="00ED1B86"/>
    <w:rsid w:val="00ED2109"/>
    <w:rsid w:val="00ED245D"/>
    <w:rsid w:val="00ED2542"/>
    <w:rsid w:val="00ED2D54"/>
    <w:rsid w:val="00ED2D60"/>
    <w:rsid w:val="00ED2F47"/>
    <w:rsid w:val="00ED336A"/>
    <w:rsid w:val="00ED36E7"/>
    <w:rsid w:val="00ED381E"/>
    <w:rsid w:val="00ED3FF7"/>
    <w:rsid w:val="00ED4272"/>
    <w:rsid w:val="00ED4EE3"/>
    <w:rsid w:val="00ED584F"/>
    <w:rsid w:val="00ED5CB4"/>
    <w:rsid w:val="00ED5EA8"/>
    <w:rsid w:val="00ED608C"/>
    <w:rsid w:val="00ED67A6"/>
    <w:rsid w:val="00ED6BBA"/>
    <w:rsid w:val="00ED711E"/>
    <w:rsid w:val="00EE0189"/>
    <w:rsid w:val="00EE05F6"/>
    <w:rsid w:val="00EE156C"/>
    <w:rsid w:val="00EE199E"/>
    <w:rsid w:val="00EE1CB7"/>
    <w:rsid w:val="00EE1F17"/>
    <w:rsid w:val="00EE21F6"/>
    <w:rsid w:val="00EE276A"/>
    <w:rsid w:val="00EE28A2"/>
    <w:rsid w:val="00EE3169"/>
    <w:rsid w:val="00EE4267"/>
    <w:rsid w:val="00EE450E"/>
    <w:rsid w:val="00EE464A"/>
    <w:rsid w:val="00EE4BEA"/>
    <w:rsid w:val="00EE5C84"/>
    <w:rsid w:val="00EE61E1"/>
    <w:rsid w:val="00EE631A"/>
    <w:rsid w:val="00EE63DC"/>
    <w:rsid w:val="00EE65DB"/>
    <w:rsid w:val="00EE673F"/>
    <w:rsid w:val="00EE68CF"/>
    <w:rsid w:val="00EE736E"/>
    <w:rsid w:val="00EE73B8"/>
    <w:rsid w:val="00EE77CE"/>
    <w:rsid w:val="00EE7DBB"/>
    <w:rsid w:val="00EE7EEE"/>
    <w:rsid w:val="00EE7F9B"/>
    <w:rsid w:val="00EF0348"/>
    <w:rsid w:val="00EF0952"/>
    <w:rsid w:val="00EF0F83"/>
    <w:rsid w:val="00EF1031"/>
    <w:rsid w:val="00EF1D29"/>
    <w:rsid w:val="00EF1D7D"/>
    <w:rsid w:val="00EF25EF"/>
    <w:rsid w:val="00EF2C20"/>
    <w:rsid w:val="00EF2F43"/>
    <w:rsid w:val="00EF31E1"/>
    <w:rsid w:val="00EF35E3"/>
    <w:rsid w:val="00EF35F4"/>
    <w:rsid w:val="00EF3C35"/>
    <w:rsid w:val="00EF3FAD"/>
    <w:rsid w:val="00EF4984"/>
    <w:rsid w:val="00EF4C1B"/>
    <w:rsid w:val="00EF57B4"/>
    <w:rsid w:val="00EF597C"/>
    <w:rsid w:val="00EF617F"/>
    <w:rsid w:val="00EF642D"/>
    <w:rsid w:val="00EF69BC"/>
    <w:rsid w:val="00EF71CC"/>
    <w:rsid w:val="00EF7367"/>
    <w:rsid w:val="00EF7B8B"/>
    <w:rsid w:val="00EF7F6C"/>
    <w:rsid w:val="00F000A6"/>
    <w:rsid w:val="00F00751"/>
    <w:rsid w:val="00F00874"/>
    <w:rsid w:val="00F00CBC"/>
    <w:rsid w:val="00F013E6"/>
    <w:rsid w:val="00F019A6"/>
    <w:rsid w:val="00F01BB7"/>
    <w:rsid w:val="00F02296"/>
    <w:rsid w:val="00F023D8"/>
    <w:rsid w:val="00F02778"/>
    <w:rsid w:val="00F03616"/>
    <w:rsid w:val="00F03745"/>
    <w:rsid w:val="00F03B01"/>
    <w:rsid w:val="00F03CF3"/>
    <w:rsid w:val="00F03D61"/>
    <w:rsid w:val="00F04059"/>
    <w:rsid w:val="00F04384"/>
    <w:rsid w:val="00F04621"/>
    <w:rsid w:val="00F04677"/>
    <w:rsid w:val="00F04C13"/>
    <w:rsid w:val="00F06A7C"/>
    <w:rsid w:val="00F06CDE"/>
    <w:rsid w:val="00F07224"/>
    <w:rsid w:val="00F07A0B"/>
    <w:rsid w:val="00F07DB5"/>
    <w:rsid w:val="00F07EBE"/>
    <w:rsid w:val="00F1042A"/>
    <w:rsid w:val="00F107B4"/>
    <w:rsid w:val="00F10E6B"/>
    <w:rsid w:val="00F11EF4"/>
    <w:rsid w:val="00F1363C"/>
    <w:rsid w:val="00F144A2"/>
    <w:rsid w:val="00F1454E"/>
    <w:rsid w:val="00F14A18"/>
    <w:rsid w:val="00F14ABD"/>
    <w:rsid w:val="00F151E3"/>
    <w:rsid w:val="00F15DF4"/>
    <w:rsid w:val="00F15E2E"/>
    <w:rsid w:val="00F16F36"/>
    <w:rsid w:val="00F17691"/>
    <w:rsid w:val="00F17BAA"/>
    <w:rsid w:val="00F17D4B"/>
    <w:rsid w:val="00F20207"/>
    <w:rsid w:val="00F20D49"/>
    <w:rsid w:val="00F21647"/>
    <w:rsid w:val="00F227C7"/>
    <w:rsid w:val="00F22A07"/>
    <w:rsid w:val="00F23A51"/>
    <w:rsid w:val="00F24311"/>
    <w:rsid w:val="00F24989"/>
    <w:rsid w:val="00F250A1"/>
    <w:rsid w:val="00F260D1"/>
    <w:rsid w:val="00F26A72"/>
    <w:rsid w:val="00F26B35"/>
    <w:rsid w:val="00F26B3F"/>
    <w:rsid w:val="00F27340"/>
    <w:rsid w:val="00F2767E"/>
    <w:rsid w:val="00F27758"/>
    <w:rsid w:val="00F2792F"/>
    <w:rsid w:val="00F27B76"/>
    <w:rsid w:val="00F300A8"/>
    <w:rsid w:val="00F3027D"/>
    <w:rsid w:val="00F3095F"/>
    <w:rsid w:val="00F30A01"/>
    <w:rsid w:val="00F3139E"/>
    <w:rsid w:val="00F314C0"/>
    <w:rsid w:val="00F31534"/>
    <w:rsid w:val="00F31937"/>
    <w:rsid w:val="00F31D72"/>
    <w:rsid w:val="00F32025"/>
    <w:rsid w:val="00F324F2"/>
    <w:rsid w:val="00F32627"/>
    <w:rsid w:val="00F328C7"/>
    <w:rsid w:val="00F32B8B"/>
    <w:rsid w:val="00F32C4E"/>
    <w:rsid w:val="00F32F08"/>
    <w:rsid w:val="00F33AEC"/>
    <w:rsid w:val="00F3422B"/>
    <w:rsid w:val="00F3442D"/>
    <w:rsid w:val="00F34471"/>
    <w:rsid w:val="00F3508B"/>
    <w:rsid w:val="00F35386"/>
    <w:rsid w:val="00F35B79"/>
    <w:rsid w:val="00F36162"/>
    <w:rsid w:val="00F365FF"/>
    <w:rsid w:val="00F37508"/>
    <w:rsid w:val="00F37E32"/>
    <w:rsid w:val="00F407DC"/>
    <w:rsid w:val="00F40BA7"/>
    <w:rsid w:val="00F41014"/>
    <w:rsid w:val="00F41676"/>
    <w:rsid w:val="00F4168F"/>
    <w:rsid w:val="00F416CF"/>
    <w:rsid w:val="00F41E45"/>
    <w:rsid w:val="00F4228B"/>
    <w:rsid w:val="00F42BDD"/>
    <w:rsid w:val="00F43094"/>
    <w:rsid w:val="00F439B6"/>
    <w:rsid w:val="00F43B74"/>
    <w:rsid w:val="00F443F3"/>
    <w:rsid w:val="00F44A7E"/>
    <w:rsid w:val="00F44CD0"/>
    <w:rsid w:val="00F45E68"/>
    <w:rsid w:val="00F4662A"/>
    <w:rsid w:val="00F47C53"/>
    <w:rsid w:val="00F51B3D"/>
    <w:rsid w:val="00F51EC0"/>
    <w:rsid w:val="00F52119"/>
    <w:rsid w:val="00F52D18"/>
    <w:rsid w:val="00F530AA"/>
    <w:rsid w:val="00F53738"/>
    <w:rsid w:val="00F53B53"/>
    <w:rsid w:val="00F54D0F"/>
    <w:rsid w:val="00F5509A"/>
    <w:rsid w:val="00F55557"/>
    <w:rsid w:val="00F559AA"/>
    <w:rsid w:val="00F56271"/>
    <w:rsid w:val="00F566AC"/>
    <w:rsid w:val="00F573E5"/>
    <w:rsid w:val="00F57497"/>
    <w:rsid w:val="00F57850"/>
    <w:rsid w:val="00F57F0B"/>
    <w:rsid w:val="00F605B2"/>
    <w:rsid w:val="00F605D5"/>
    <w:rsid w:val="00F607AD"/>
    <w:rsid w:val="00F60987"/>
    <w:rsid w:val="00F609A3"/>
    <w:rsid w:val="00F60B19"/>
    <w:rsid w:val="00F60C79"/>
    <w:rsid w:val="00F60E7B"/>
    <w:rsid w:val="00F60ED8"/>
    <w:rsid w:val="00F61428"/>
    <w:rsid w:val="00F61C58"/>
    <w:rsid w:val="00F61FD5"/>
    <w:rsid w:val="00F626CA"/>
    <w:rsid w:val="00F630B7"/>
    <w:rsid w:val="00F633B6"/>
    <w:rsid w:val="00F6349F"/>
    <w:rsid w:val="00F63519"/>
    <w:rsid w:val="00F642CB"/>
    <w:rsid w:val="00F64C6A"/>
    <w:rsid w:val="00F65173"/>
    <w:rsid w:val="00F653BA"/>
    <w:rsid w:val="00F65517"/>
    <w:rsid w:val="00F6703B"/>
    <w:rsid w:val="00F672B7"/>
    <w:rsid w:val="00F67F50"/>
    <w:rsid w:val="00F67F71"/>
    <w:rsid w:val="00F703F7"/>
    <w:rsid w:val="00F70879"/>
    <w:rsid w:val="00F71724"/>
    <w:rsid w:val="00F718CE"/>
    <w:rsid w:val="00F71BBA"/>
    <w:rsid w:val="00F71DF1"/>
    <w:rsid w:val="00F71F93"/>
    <w:rsid w:val="00F727B6"/>
    <w:rsid w:val="00F72A66"/>
    <w:rsid w:val="00F732C6"/>
    <w:rsid w:val="00F734F4"/>
    <w:rsid w:val="00F7394C"/>
    <w:rsid w:val="00F73A58"/>
    <w:rsid w:val="00F74FF2"/>
    <w:rsid w:val="00F750A9"/>
    <w:rsid w:val="00F75F1F"/>
    <w:rsid w:val="00F76DD9"/>
    <w:rsid w:val="00F7747F"/>
    <w:rsid w:val="00F77495"/>
    <w:rsid w:val="00F77D04"/>
    <w:rsid w:val="00F77DF9"/>
    <w:rsid w:val="00F800A3"/>
    <w:rsid w:val="00F801D9"/>
    <w:rsid w:val="00F807D2"/>
    <w:rsid w:val="00F80B16"/>
    <w:rsid w:val="00F80C8D"/>
    <w:rsid w:val="00F80E75"/>
    <w:rsid w:val="00F81178"/>
    <w:rsid w:val="00F81590"/>
    <w:rsid w:val="00F81863"/>
    <w:rsid w:val="00F81ECA"/>
    <w:rsid w:val="00F8248A"/>
    <w:rsid w:val="00F82EC2"/>
    <w:rsid w:val="00F83FFD"/>
    <w:rsid w:val="00F84811"/>
    <w:rsid w:val="00F8492B"/>
    <w:rsid w:val="00F84BDC"/>
    <w:rsid w:val="00F850D8"/>
    <w:rsid w:val="00F852AC"/>
    <w:rsid w:val="00F85668"/>
    <w:rsid w:val="00F85A5E"/>
    <w:rsid w:val="00F85BA2"/>
    <w:rsid w:val="00F85C5C"/>
    <w:rsid w:val="00F85E84"/>
    <w:rsid w:val="00F86814"/>
    <w:rsid w:val="00F86F05"/>
    <w:rsid w:val="00F872CD"/>
    <w:rsid w:val="00F873A7"/>
    <w:rsid w:val="00F874C5"/>
    <w:rsid w:val="00F90754"/>
    <w:rsid w:val="00F90798"/>
    <w:rsid w:val="00F908E3"/>
    <w:rsid w:val="00F90B57"/>
    <w:rsid w:val="00F90C65"/>
    <w:rsid w:val="00F91210"/>
    <w:rsid w:val="00F9127D"/>
    <w:rsid w:val="00F91737"/>
    <w:rsid w:val="00F91D18"/>
    <w:rsid w:val="00F9225D"/>
    <w:rsid w:val="00F92AD3"/>
    <w:rsid w:val="00F92C28"/>
    <w:rsid w:val="00F92D2B"/>
    <w:rsid w:val="00F938C0"/>
    <w:rsid w:val="00F93928"/>
    <w:rsid w:val="00F940DC"/>
    <w:rsid w:val="00F9418A"/>
    <w:rsid w:val="00F94631"/>
    <w:rsid w:val="00F94E0C"/>
    <w:rsid w:val="00F94F39"/>
    <w:rsid w:val="00F951E1"/>
    <w:rsid w:val="00F95A13"/>
    <w:rsid w:val="00F95BBE"/>
    <w:rsid w:val="00F9652B"/>
    <w:rsid w:val="00F9655D"/>
    <w:rsid w:val="00F96B08"/>
    <w:rsid w:val="00F9711A"/>
    <w:rsid w:val="00F97A68"/>
    <w:rsid w:val="00FA00CD"/>
    <w:rsid w:val="00FA0199"/>
    <w:rsid w:val="00FA058B"/>
    <w:rsid w:val="00FA0800"/>
    <w:rsid w:val="00FA0F90"/>
    <w:rsid w:val="00FA105B"/>
    <w:rsid w:val="00FA11BF"/>
    <w:rsid w:val="00FA15EF"/>
    <w:rsid w:val="00FA18E0"/>
    <w:rsid w:val="00FA20BB"/>
    <w:rsid w:val="00FA2EA0"/>
    <w:rsid w:val="00FA2EB5"/>
    <w:rsid w:val="00FA3619"/>
    <w:rsid w:val="00FA3641"/>
    <w:rsid w:val="00FA389E"/>
    <w:rsid w:val="00FA478D"/>
    <w:rsid w:val="00FA4EDE"/>
    <w:rsid w:val="00FA4F7D"/>
    <w:rsid w:val="00FA50A0"/>
    <w:rsid w:val="00FA52EC"/>
    <w:rsid w:val="00FA5552"/>
    <w:rsid w:val="00FA58AD"/>
    <w:rsid w:val="00FA5E60"/>
    <w:rsid w:val="00FA6700"/>
    <w:rsid w:val="00FA6B68"/>
    <w:rsid w:val="00FA788A"/>
    <w:rsid w:val="00FA7A15"/>
    <w:rsid w:val="00FB047B"/>
    <w:rsid w:val="00FB0B6B"/>
    <w:rsid w:val="00FB0BF8"/>
    <w:rsid w:val="00FB0D42"/>
    <w:rsid w:val="00FB1373"/>
    <w:rsid w:val="00FB14AA"/>
    <w:rsid w:val="00FB158A"/>
    <w:rsid w:val="00FB1812"/>
    <w:rsid w:val="00FB18B6"/>
    <w:rsid w:val="00FB1EE2"/>
    <w:rsid w:val="00FB2A1C"/>
    <w:rsid w:val="00FB2A84"/>
    <w:rsid w:val="00FB3469"/>
    <w:rsid w:val="00FB4972"/>
    <w:rsid w:val="00FB4E5E"/>
    <w:rsid w:val="00FB510D"/>
    <w:rsid w:val="00FB7327"/>
    <w:rsid w:val="00FB76C5"/>
    <w:rsid w:val="00FB7D27"/>
    <w:rsid w:val="00FC11EA"/>
    <w:rsid w:val="00FC1A35"/>
    <w:rsid w:val="00FC21A3"/>
    <w:rsid w:val="00FC2469"/>
    <w:rsid w:val="00FC2A54"/>
    <w:rsid w:val="00FC2BB9"/>
    <w:rsid w:val="00FC2F95"/>
    <w:rsid w:val="00FC31B9"/>
    <w:rsid w:val="00FC34E6"/>
    <w:rsid w:val="00FC3A14"/>
    <w:rsid w:val="00FC4BAC"/>
    <w:rsid w:val="00FC50BE"/>
    <w:rsid w:val="00FC5101"/>
    <w:rsid w:val="00FC516F"/>
    <w:rsid w:val="00FC51E3"/>
    <w:rsid w:val="00FC569A"/>
    <w:rsid w:val="00FC6136"/>
    <w:rsid w:val="00FC68AB"/>
    <w:rsid w:val="00FC6973"/>
    <w:rsid w:val="00FC6E1E"/>
    <w:rsid w:val="00FC7196"/>
    <w:rsid w:val="00FC7651"/>
    <w:rsid w:val="00FC7FE1"/>
    <w:rsid w:val="00FD09D3"/>
    <w:rsid w:val="00FD0B3D"/>
    <w:rsid w:val="00FD0C74"/>
    <w:rsid w:val="00FD0FAC"/>
    <w:rsid w:val="00FD1504"/>
    <w:rsid w:val="00FD164F"/>
    <w:rsid w:val="00FD1DCB"/>
    <w:rsid w:val="00FD1EFC"/>
    <w:rsid w:val="00FD231B"/>
    <w:rsid w:val="00FD2BC7"/>
    <w:rsid w:val="00FD2EF1"/>
    <w:rsid w:val="00FD31A1"/>
    <w:rsid w:val="00FD324D"/>
    <w:rsid w:val="00FD360A"/>
    <w:rsid w:val="00FD3863"/>
    <w:rsid w:val="00FD3DC3"/>
    <w:rsid w:val="00FD48F6"/>
    <w:rsid w:val="00FD4A48"/>
    <w:rsid w:val="00FD4A84"/>
    <w:rsid w:val="00FD4B20"/>
    <w:rsid w:val="00FD4D59"/>
    <w:rsid w:val="00FD4DFD"/>
    <w:rsid w:val="00FD54C0"/>
    <w:rsid w:val="00FD6069"/>
    <w:rsid w:val="00FD670E"/>
    <w:rsid w:val="00FD6DB5"/>
    <w:rsid w:val="00FD7401"/>
    <w:rsid w:val="00FD7787"/>
    <w:rsid w:val="00FD7875"/>
    <w:rsid w:val="00FD7B0B"/>
    <w:rsid w:val="00FD7D56"/>
    <w:rsid w:val="00FE0323"/>
    <w:rsid w:val="00FE0535"/>
    <w:rsid w:val="00FE05E1"/>
    <w:rsid w:val="00FE1545"/>
    <w:rsid w:val="00FE18CD"/>
    <w:rsid w:val="00FE1E25"/>
    <w:rsid w:val="00FE2CE2"/>
    <w:rsid w:val="00FE35CF"/>
    <w:rsid w:val="00FE39B9"/>
    <w:rsid w:val="00FE5051"/>
    <w:rsid w:val="00FE517F"/>
    <w:rsid w:val="00FE5632"/>
    <w:rsid w:val="00FE65FE"/>
    <w:rsid w:val="00FE72D8"/>
    <w:rsid w:val="00FF0792"/>
    <w:rsid w:val="00FF0C05"/>
    <w:rsid w:val="00FF0D95"/>
    <w:rsid w:val="00FF113A"/>
    <w:rsid w:val="00FF125C"/>
    <w:rsid w:val="00FF148E"/>
    <w:rsid w:val="00FF1575"/>
    <w:rsid w:val="00FF18F8"/>
    <w:rsid w:val="00FF1976"/>
    <w:rsid w:val="00FF21AF"/>
    <w:rsid w:val="00FF2474"/>
    <w:rsid w:val="00FF35EC"/>
    <w:rsid w:val="00FF3625"/>
    <w:rsid w:val="00FF3BDB"/>
    <w:rsid w:val="00FF3C50"/>
    <w:rsid w:val="00FF4191"/>
    <w:rsid w:val="00FF433A"/>
    <w:rsid w:val="00FF4A06"/>
    <w:rsid w:val="00FF5207"/>
    <w:rsid w:val="00FF5502"/>
    <w:rsid w:val="00FF571C"/>
    <w:rsid w:val="00FF58D0"/>
    <w:rsid w:val="00FF5ACC"/>
    <w:rsid w:val="00FF5BD9"/>
    <w:rsid w:val="00FF5D06"/>
    <w:rsid w:val="00FF6082"/>
    <w:rsid w:val="00FF62B5"/>
    <w:rsid w:val="00FF6DBF"/>
    <w:rsid w:val="00FF7514"/>
    <w:rsid w:val="00FF7642"/>
    <w:rsid w:val="00FF7657"/>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AE464D"/>
    <w:pPr>
      <w:tabs>
        <w:tab w:val="right" w:pos="9360"/>
      </w:tabs>
      <w:spacing w:after="0"/>
      <w:ind w:left="72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7F5349"/>
    <w:pPr>
      <w:tabs>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uiPriority w:val="59"/>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D06FA2"/>
    <w:pPr>
      <w:spacing w:after="60"/>
      <w:ind w:left="230"/>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23461E"/>
    <w:pPr>
      <w:widowControl/>
      <w:tabs>
        <w:tab w:val="right" w:pos="9350"/>
      </w:tabs>
      <w:spacing w:after="60"/>
      <w:ind w:left="461"/>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 w:type="table" w:customStyle="1" w:styleId="Table">
    <w:name w:val="Table"/>
    <w:basedOn w:val="TableNormal"/>
    <w:uiPriority w:val="99"/>
    <w:rsid w:val="00041AF0"/>
    <w:rPr>
      <w:color w:val="FFFFFF" w:themeColor="background1"/>
      <w:sz w:val="23"/>
      <w14:textFill>
        <w14:noFill/>
      </w14:textFill>
    </w:rPr>
    <w:tblPr/>
    <w:tcPr>
      <w:tcMar>
        <w:top w:w="58" w:type="dxa"/>
        <w:left w:w="115" w:type="dxa"/>
        <w:bottom w:w="58" w:type="dxa"/>
        <w:right w:w="11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100"/>
      <w:jc w:val="both"/>
    </w:pPr>
    <w:rPr>
      <w:snapToGrid w:val="0"/>
      <w:sz w:val="23"/>
    </w:rPr>
  </w:style>
  <w:style w:type="paragraph" w:styleId="Heading1">
    <w:name w:val="heading 1"/>
    <w:basedOn w:val="Normal"/>
    <w:link w:val="Heading1Char"/>
    <w:uiPriority w:val="1"/>
    <w:qFormat/>
    <w:rsid w:val="00657615"/>
    <w:pPr>
      <w:spacing w:before="41" w:after="0"/>
      <w:ind w:left="1310"/>
      <w:jc w:val="left"/>
      <w:outlineLvl w:val="0"/>
    </w:pPr>
    <w:rPr>
      <w:rFonts w:ascii="Arial" w:eastAsia="Arial" w:hAnsi="Arial" w:cstheme="minorBidi"/>
      <w:b/>
      <w:bCs/>
      <w:snapToGrid/>
      <w:sz w:val="24"/>
      <w:szCs w:val="24"/>
    </w:rPr>
  </w:style>
  <w:style w:type="paragraph" w:styleId="Heading2">
    <w:name w:val="heading 2"/>
    <w:basedOn w:val="Normal"/>
    <w:link w:val="Heading2Char"/>
    <w:uiPriority w:val="1"/>
    <w:qFormat/>
    <w:rsid w:val="00657615"/>
    <w:pPr>
      <w:spacing w:before="143" w:after="0"/>
      <w:ind w:left="343"/>
      <w:jc w:val="left"/>
      <w:outlineLvl w:val="1"/>
    </w:pPr>
    <w:rPr>
      <w:rFonts w:ascii="Arial" w:eastAsia="Arial" w:hAnsi="Arial" w:cstheme="minorBidi"/>
      <w:snapToGrid/>
      <w:sz w:val="18"/>
      <w:szCs w:val="18"/>
      <w:u w:val="single"/>
    </w:rPr>
  </w:style>
  <w:style w:type="paragraph" w:styleId="Heading3">
    <w:name w:val="heading 3"/>
    <w:basedOn w:val="Normal"/>
    <w:link w:val="Heading3Char"/>
    <w:uiPriority w:val="1"/>
    <w:qFormat/>
    <w:rsid w:val="00657615"/>
    <w:pPr>
      <w:spacing w:after="0"/>
      <w:ind w:left="730"/>
      <w:jc w:val="left"/>
      <w:outlineLvl w:val="2"/>
    </w:pPr>
    <w:rPr>
      <w:rFonts w:ascii="Arial" w:eastAsia="Arial" w:hAnsi="Arial" w:cstheme="minorBidi"/>
      <w:b/>
      <w:bCs/>
      <w:snapToGrid/>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autoRedefine/>
    <w:rsid w:val="00AE464D"/>
    <w:pPr>
      <w:tabs>
        <w:tab w:val="right" w:pos="9360"/>
      </w:tabs>
      <w:spacing w:after="0"/>
      <w:ind w:left="720"/>
      <w:jc w:val="center"/>
    </w:pPr>
    <w:rPr>
      <w:noProof/>
      <w:snapToGrid/>
      <w:sz w:val="20"/>
    </w:rPr>
  </w:style>
  <w:style w:type="paragraph" w:customStyle="1" w:styleId="Level3">
    <w:name w:val="Level 3"/>
    <w:basedOn w:val="Normal"/>
    <w:pPr>
      <w:numPr>
        <w:ilvl w:val="2"/>
        <w:numId w:val="1"/>
      </w:numPr>
    </w:pPr>
  </w:style>
  <w:style w:type="paragraph" w:customStyle="1" w:styleId="Level1">
    <w:name w:val="Level 1"/>
    <w:basedOn w:val="Normal"/>
    <w:pPr>
      <w:numPr>
        <w:numId w:val="1"/>
      </w:numPr>
    </w:pPr>
  </w:style>
  <w:style w:type="character" w:styleId="PageNumber">
    <w:name w:val="page number"/>
    <w:basedOn w:val="DefaultParagraphFont"/>
  </w:style>
  <w:style w:type="paragraph" w:customStyle="1" w:styleId="NonLegalOutline">
    <w:name w:val="NonLegal Outline"/>
    <w:basedOn w:val="Normal"/>
    <w:autoRedefine/>
    <w:pPr>
      <w:numPr>
        <w:numId w:val="2"/>
      </w:numPr>
      <w:autoSpaceDE w:val="0"/>
      <w:autoSpaceDN w:val="0"/>
      <w:adjustRightInd w:val="0"/>
      <w:jc w:val="left"/>
    </w:pPr>
    <w:rPr>
      <w:snapToGrid/>
      <w:sz w:val="22"/>
    </w:rPr>
  </w:style>
  <w:style w:type="numbering" w:styleId="1ai">
    <w:name w:val="Outline List 1"/>
    <w:basedOn w:val="NoList"/>
    <w:rsid w:val="00F93928"/>
    <w:pPr>
      <w:numPr>
        <w:numId w:val="3"/>
      </w:numPr>
    </w:pPr>
  </w:style>
  <w:style w:type="paragraph" w:styleId="TOC1">
    <w:name w:val="toc 1"/>
    <w:basedOn w:val="Normal"/>
    <w:next w:val="Normal"/>
    <w:autoRedefine/>
    <w:uiPriority w:val="39"/>
    <w:rsid w:val="007F5349"/>
    <w:pPr>
      <w:tabs>
        <w:tab w:val="right" w:pos="9360"/>
      </w:tabs>
      <w:spacing w:after="60"/>
      <w:jc w:val="left"/>
    </w:pPr>
    <w:rPr>
      <w:rFonts w:ascii="Times New Roman Bold" w:hAnsi="Times New Roman Bold"/>
      <w:b/>
      <w:smallCaps/>
      <w:sz w:val="18"/>
    </w:rPr>
  </w:style>
  <w:style w:type="paragraph" w:customStyle="1" w:styleId="Char2">
    <w:name w:val="Char2"/>
    <w:basedOn w:val="Normal"/>
    <w:rsid w:val="005D2010"/>
    <w:pPr>
      <w:widowControl/>
      <w:spacing w:before="60" w:after="160" w:line="240" w:lineRule="exact"/>
    </w:pPr>
    <w:rPr>
      <w:rFonts w:ascii="Verdana" w:hAnsi="Verdana" w:cs="Verdana"/>
      <w:snapToGrid/>
      <w:color w:val="FF00FF"/>
      <w:sz w:val="24"/>
      <w:szCs w:val="24"/>
    </w:rPr>
  </w:style>
  <w:style w:type="table" w:styleId="TableGrid">
    <w:name w:val="Table Grid"/>
    <w:basedOn w:val="TableNormal"/>
    <w:uiPriority w:val="59"/>
    <w:rsid w:val="003C0A47"/>
    <w:pPr>
      <w:widowControl w:val="0"/>
      <w:spacing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A1F"/>
    <w:pPr>
      <w:ind w:left="720"/>
      <w:contextualSpacing/>
    </w:pPr>
  </w:style>
  <w:style w:type="character" w:styleId="Hyperlink">
    <w:name w:val="Hyperlink"/>
    <w:basedOn w:val="DefaultParagraphFont"/>
    <w:uiPriority w:val="99"/>
    <w:rsid w:val="00E26F87"/>
    <w:rPr>
      <w:color w:val="0000FF" w:themeColor="hyperlink"/>
      <w:u w:val="single"/>
    </w:rPr>
  </w:style>
  <w:style w:type="paragraph" w:styleId="ListBullet">
    <w:name w:val="List Bullet"/>
    <w:basedOn w:val="Normal"/>
    <w:rsid w:val="000765E8"/>
    <w:pPr>
      <w:numPr>
        <w:numId w:val="15"/>
      </w:numPr>
      <w:contextualSpacing/>
    </w:pPr>
  </w:style>
  <w:style w:type="paragraph" w:customStyle="1" w:styleId="001Proxy">
    <w:name w:val="001_Proxy"/>
    <w:basedOn w:val="Normal"/>
    <w:link w:val="001ProxyChar"/>
    <w:qFormat/>
    <w:rsid w:val="008D2A91"/>
    <w:pPr>
      <w:widowControl/>
      <w:tabs>
        <w:tab w:val="left" w:pos="1080"/>
      </w:tabs>
      <w:spacing w:before="240" w:after="60"/>
      <w:jc w:val="left"/>
    </w:pPr>
    <w:rPr>
      <w:b/>
    </w:rPr>
  </w:style>
  <w:style w:type="paragraph" w:customStyle="1" w:styleId="002Proxy">
    <w:name w:val="002_Proxy"/>
    <w:basedOn w:val="Normal"/>
    <w:link w:val="002ProxyChar"/>
    <w:qFormat/>
    <w:rsid w:val="005250B8"/>
    <w:pPr>
      <w:widowControl/>
      <w:tabs>
        <w:tab w:val="left" w:pos="1080"/>
      </w:tabs>
      <w:jc w:val="left"/>
    </w:pPr>
    <w:rPr>
      <w:b/>
    </w:rPr>
  </w:style>
  <w:style w:type="character" w:customStyle="1" w:styleId="001ProxyChar">
    <w:name w:val="001_Proxy Char"/>
    <w:basedOn w:val="DefaultParagraphFont"/>
    <w:link w:val="001Proxy"/>
    <w:rsid w:val="008D2A91"/>
    <w:rPr>
      <w:b/>
      <w:snapToGrid w:val="0"/>
      <w:sz w:val="23"/>
    </w:rPr>
  </w:style>
  <w:style w:type="paragraph" w:customStyle="1" w:styleId="003Proxy">
    <w:name w:val="003_Proxy"/>
    <w:basedOn w:val="Normal"/>
    <w:link w:val="003ProxyChar"/>
    <w:qFormat/>
    <w:rsid w:val="005250B8"/>
    <w:pPr>
      <w:widowControl/>
      <w:tabs>
        <w:tab w:val="left" w:pos="1080"/>
      </w:tabs>
      <w:spacing w:after="60"/>
      <w:jc w:val="left"/>
    </w:pPr>
    <w:rPr>
      <w:b/>
      <w:i/>
    </w:rPr>
  </w:style>
  <w:style w:type="character" w:customStyle="1" w:styleId="002ProxyChar">
    <w:name w:val="002_Proxy Char"/>
    <w:basedOn w:val="DefaultParagraphFont"/>
    <w:link w:val="002Proxy"/>
    <w:rsid w:val="005250B8"/>
    <w:rPr>
      <w:b/>
      <w:snapToGrid w:val="0"/>
      <w:sz w:val="23"/>
    </w:rPr>
  </w:style>
  <w:style w:type="paragraph" w:styleId="TOC2">
    <w:name w:val="toc 2"/>
    <w:basedOn w:val="Normal"/>
    <w:next w:val="Normal"/>
    <w:autoRedefine/>
    <w:uiPriority w:val="39"/>
    <w:rsid w:val="00D06FA2"/>
    <w:pPr>
      <w:spacing w:after="60"/>
      <w:ind w:left="230"/>
    </w:pPr>
    <w:rPr>
      <w:sz w:val="20"/>
    </w:rPr>
  </w:style>
  <w:style w:type="character" w:customStyle="1" w:styleId="003ProxyChar">
    <w:name w:val="003_Proxy Char"/>
    <w:basedOn w:val="DefaultParagraphFont"/>
    <w:link w:val="003Proxy"/>
    <w:rsid w:val="005250B8"/>
    <w:rPr>
      <w:b/>
      <w:i/>
      <w:snapToGrid w:val="0"/>
      <w:sz w:val="23"/>
    </w:rPr>
  </w:style>
  <w:style w:type="paragraph" w:styleId="TOC3">
    <w:name w:val="toc 3"/>
    <w:basedOn w:val="Normal"/>
    <w:next w:val="Normal"/>
    <w:autoRedefine/>
    <w:uiPriority w:val="39"/>
    <w:rsid w:val="0023461E"/>
    <w:pPr>
      <w:widowControl/>
      <w:tabs>
        <w:tab w:val="right" w:pos="9350"/>
      </w:tabs>
      <w:spacing w:after="60"/>
      <w:ind w:left="461"/>
    </w:pPr>
    <w:rPr>
      <w:i/>
      <w:sz w:val="20"/>
    </w:rPr>
  </w:style>
  <w:style w:type="paragraph" w:styleId="BalloonText">
    <w:name w:val="Balloon Text"/>
    <w:basedOn w:val="Normal"/>
    <w:link w:val="BalloonTextChar"/>
    <w:rsid w:val="00E50D56"/>
    <w:pPr>
      <w:spacing w:after="0"/>
    </w:pPr>
    <w:rPr>
      <w:rFonts w:ascii="Tahoma" w:hAnsi="Tahoma" w:cs="Tahoma"/>
      <w:sz w:val="16"/>
      <w:szCs w:val="16"/>
    </w:rPr>
  </w:style>
  <w:style w:type="character" w:customStyle="1" w:styleId="BalloonTextChar">
    <w:name w:val="Balloon Text Char"/>
    <w:basedOn w:val="DefaultParagraphFont"/>
    <w:link w:val="BalloonText"/>
    <w:rsid w:val="00E50D56"/>
    <w:rPr>
      <w:rFonts w:ascii="Tahoma" w:hAnsi="Tahoma" w:cs="Tahoma"/>
      <w:snapToGrid w:val="0"/>
      <w:sz w:val="16"/>
      <w:szCs w:val="16"/>
    </w:rPr>
  </w:style>
  <w:style w:type="character" w:customStyle="1" w:styleId="Heading1Char">
    <w:name w:val="Heading 1 Char"/>
    <w:basedOn w:val="DefaultParagraphFont"/>
    <w:link w:val="Heading1"/>
    <w:uiPriority w:val="1"/>
    <w:rsid w:val="00657615"/>
    <w:rPr>
      <w:rFonts w:ascii="Arial" w:eastAsia="Arial" w:hAnsi="Arial" w:cstheme="minorBidi"/>
      <w:b/>
      <w:bCs/>
      <w:sz w:val="24"/>
      <w:szCs w:val="24"/>
    </w:rPr>
  </w:style>
  <w:style w:type="paragraph" w:styleId="BodyText">
    <w:name w:val="Body Text"/>
    <w:basedOn w:val="Normal"/>
    <w:link w:val="BodyTextChar"/>
    <w:uiPriority w:val="1"/>
    <w:qFormat/>
    <w:rsid w:val="00657615"/>
    <w:pPr>
      <w:spacing w:after="0"/>
      <w:jc w:val="left"/>
    </w:pPr>
    <w:rPr>
      <w:rFonts w:ascii="Arial" w:eastAsia="Arial" w:hAnsi="Arial" w:cstheme="minorBidi"/>
      <w:snapToGrid/>
      <w:sz w:val="24"/>
      <w:szCs w:val="24"/>
    </w:rPr>
  </w:style>
  <w:style w:type="character" w:customStyle="1" w:styleId="BodyTextChar">
    <w:name w:val="Body Text Char"/>
    <w:basedOn w:val="DefaultParagraphFont"/>
    <w:link w:val="BodyText"/>
    <w:uiPriority w:val="1"/>
    <w:rsid w:val="00657615"/>
    <w:rPr>
      <w:rFonts w:ascii="Arial" w:eastAsia="Arial" w:hAnsi="Arial" w:cstheme="minorBidi"/>
      <w:sz w:val="24"/>
      <w:szCs w:val="24"/>
    </w:rPr>
  </w:style>
  <w:style w:type="character" w:customStyle="1" w:styleId="Heading2Char">
    <w:name w:val="Heading 2 Char"/>
    <w:basedOn w:val="DefaultParagraphFont"/>
    <w:link w:val="Heading2"/>
    <w:uiPriority w:val="1"/>
    <w:rsid w:val="00657615"/>
    <w:rPr>
      <w:rFonts w:ascii="Arial" w:eastAsia="Arial" w:hAnsi="Arial" w:cstheme="minorBidi"/>
      <w:sz w:val="18"/>
      <w:szCs w:val="18"/>
      <w:u w:val="single"/>
    </w:rPr>
  </w:style>
  <w:style w:type="character" w:customStyle="1" w:styleId="Heading3Char">
    <w:name w:val="Heading 3 Char"/>
    <w:basedOn w:val="DefaultParagraphFont"/>
    <w:link w:val="Heading3"/>
    <w:uiPriority w:val="1"/>
    <w:rsid w:val="00657615"/>
    <w:rPr>
      <w:rFonts w:ascii="Arial" w:eastAsia="Arial" w:hAnsi="Arial" w:cstheme="minorBidi"/>
      <w:b/>
      <w:bCs/>
      <w:sz w:val="14"/>
      <w:szCs w:val="14"/>
    </w:rPr>
  </w:style>
  <w:style w:type="paragraph" w:customStyle="1" w:styleId="TableParagraph">
    <w:name w:val="Table Paragraph"/>
    <w:basedOn w:val="Normal"/>
    <w:uiPriority w:val="1"/>
    <w:qFormat/>
    <w:rsid w:val="00657615"/>
    <w:pPr>
      <w:spacing w:after="0"/>
      <w:jc w:val="left"/>
    </w:pPr>
    <w:rPr>
      <w:rFonts w:asciiTheme="minorHAnsi" w:eastAsiaTheme="minorHAnsi" w:hAnsiTheme="minorHAnsi" w:cstheme="minorBidi"/>
      <w:snapToGrid/>
      <w:sz w:val="22"/>
      <w:szCs w:val="22"/>
    </w:rPr>
  </w:style>
  <w:style w:type="paragraph" w:customStyle="1" w:styleId="1">
    <w:name w:val="1"/>
    <w:basedOn w:val="Normal"/>
    <w:rsid w:val="00B93F1C"/>
    <w:pPr>
      <w:widowControl/>
      <w:spacing w:before="60" w:after="160" w:line="240" w:lineRule="exact"/>
    </w:pPr>
    <w:rPr>
      <w:rFonts w:ascii="Verdana" w:hAnsi="Verdana" w:cs="Verdana"/>
      <w:snapToGrid/>
      <w:color w:val="FF00FF"/>
      <w:sz w:val="24"/>
      <w:szCs w:val="24"/>
    </w:rPr>
  </w:style>
  <w:style w:type="character" w:styleId="Emphasis">
    <w:name w:val="Emphasis"/>
    <w:basedOn w:val="DefaultParagraphFont"/>
    <w:qFormat/>
    <w:rsid w:val="002271BF"/>
    <w:rPr>
      <w:i/>
      <w:iCs/>
    </w:rPr>
  </w:style>
  <w:style w:type="character" w:styleId="FollowedHyperlink">
    <w:name w:val="FollowedHyperlink"/>
    <w:basedOn w:val="DefaultParagraphFont"/>
    <w:rsid w:val="00253D07"/>
    <w:rPr>
      <w:color w:val="800080" w:themeColor="followedHyperlink"/>
      <w:u w:val="single"/>
    </w:rPr>
  </w:style>
  <w:style w:type="paragraph" w:customStyle="1" w:styleId="004Proxy">
    <w:name w:val="004_Proxy"/>
    <w:basedOn w:val="Normal"/>
    <w:link w:val="004ProxyChar"/>
    <w:qFormat/>
    <w:rsid w:val="00405C8A"/>
    <w:pPr>
      <w:spacing w:after="240"/>
      <w:jc w:val="left"/>
    </w:pPr>
    <w:rPr>
      <w:i/>
    </w:rPr>
  </w:style>
  <w:style w:type="character" w:customStyle="1" w:styleId="004ProxyChar">
    <w:name w:val="004_Proxy Char"/>
    <w:basedOn w:val="DefaultParagraphFont"/>
    <w:link w:val="004Proxy"/>
    <w:rsid w:val="00405C8A"/>
    <w:rPr>
      <w:i/>
      <w:snapToGrid w:val="0"/>
      <w:sz w:val="23"/>
    </w:rPr>
  </w:style>
  <w:style w:type="table" w:customStyle="1" w:styleId="Table">
    <w:name w:val="Table"/>
    <w:basedOn w:val="TableNormal"/>
    <w:uiPriority w:val="99"/>
    <w:rsid w:val="00041AF0"/>
    <w:rPr>
      <w:color w:val="FFFFFF" w:themeColor="background1"/>
      <w:sz w:val="23"/>
      <w14:textFill>
        <w14:noFill/>
      </w14:textFill>
    </w:rPr>
    <w:tblPr/>
    <w:tcPr>
      <w:tcMar>
        <w:top w:w="58" w:type="dxa"/>
        <w:left w:w="115" w:type="dxa"/>
        <w:bottom w:w="58" w:type="dxa"/>
        <w:right w:w="11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197">
      <w:bodyDiv w:val="1"/>
      <w:marLeft w:val="0"/>
      <w:marRight w:val="0"/>
      <w:marTop w:val="0"/>
      <w:marBottom w:val="0"/>
      <w:divBdr>
        <w:top w:val="none" w:sz="0" w:space="0" w:color="auto"/>
        <w:left w:val="none" w:sz="0" w:space="0" w:color="auto"/>
        <w:bottom w:val="none" w:sz="0" w:space="0" w:color="auto"/>
        <w:right w:val="none" w:sz="0" w:space="0" w:color="auto"/>
      </w:divBdr>
    </w:div>
    <w:div w:id="508835664">
      <w:bodyDiv w:val="1"/>
      <w:marLeft w:val="0"/>
      <w:marRight w:val="0"/>
      <w:marTop w:val="0"/>
      <w:marBottom w:val="0"/>
      <w:divBdr>
        <w:top w:val="none" w:sz="0" w:space="0" w:color="auto"/>
        <w:left w:val="none" w:sz="0" w:space="0" w:color="auto"/>
        <w:bottom w:val="none" w:sz="0" w:space="0" w:color="auto"/>
        <w:right w:val="none" w:sz="0" w:space="0" w:color="auto"/>
      </w:divBdr>
    </w:div>
    <w:div w:id="1405377731">
      <w:bodyDiv w:val="1"/>
      <w:marLeft w:val="0"/>
      <w:marRight w:val="0"/>
      <w:marTop w:val="0"/>
      <w:marBottom w:val="0"/>
      <w:divBdr>
        <w:top w:val="none" w:sz="0" w:space="0" w:color="auto"/>
        <w:left w:val="none" w:sz="0" w:space="0" w:color="auto"/>
        <w:bottom w:val="none" w:sz="0" w:space="0" w:color="auto"/>
        <w:right w:val="none" w:sz="0" w:space="0" w:color="auto"/>
      </w:divBdr>
    </w:div>
    <w:div w:id="16211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TRLco.co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Reports@Lighthouse-Services.com" TargetMode="External"/><Relationship Id="rId17" Type="http://schemas.openxmlformats.org/officeDocument/2006/relationships/hyperlink" Target="http://www.STRLco.com" TargetMode="External"/><Relationship Id="rId2" Type="http://schemas.openxmlformats.org/officeDocument/2006/relationships/numbering" Target="numbering.xml"/><Relationship Id="rId16" Type="http://schemas.openxmlformats.org/officeDocument/2006/relationships/hyperlink" Target="mailto:Reports@Lighthouse-Service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stproxyportal.com/ast/04770" TargetMode="External"/><Relationship Id="rId23" Type="http://schemas.openxmlformats.org/officeDocument/2006/relationships/theme" Target="theme/theme1.xml"/><Relationship Id="rId10" Type="http://schemas.openxmlformats.org/officeDocument/2006/relationships/hyperlink" Target="http://www.voteproxy.com"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STRLco.com" TargetMode="External"/><Relationship Id="rId14" Type="http://schemas.openxmlformats.org/officeDocument/2006/relationships/hyperlink" Target="http://www.StrlCo.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DDD\02_Sterling%20Construction%20Company,%20Inc\03_Proxy%20Background%202016\Performance%20Graph%20for%202016%20Proxy%20Stateme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Arial"/>
                <a:cs typeface="Arial"/>
              </a:rPr>
              <a:t>COMPARISON OF 5 YEAR CUMULATIVE TOTAL RETURN*</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Calibri"/>
                <a:ea typeface="Calibri"/>
                <a:cs typeface="Calibri"/>
              </a:defRPr>
            </a:pPr>
            <a:r>
              <a:rPr lang="en-US" sz="900" b="0" i="0" u="none" strike="noStrike" baseline="0">
                <a:solidFill>
                  <a:srgbClr val="000000"/>
                </a:solidFill>
                <a:latin typeface="Arial"/>
                <a:cs typeface="Arial"/>
              </a:rPr>
              <a:t>Among Sterling Construction Company, Inc, the Dow Jones US Total Return  Index, </a:t>
            </a:r>
          </a:p>
          <a:p>
            <a:pPr>
              <a:defRPr sz="1000" b="0" i="0" u="none" strike="noStrike" baseline="0">
                <a:solidFill>
                  <a:srgbClr val="000000"/>
                </a:solidFill>
                <a:latin typeface="Calibri"/>
                <a:ea typeface="Calibri"/>
                <a:cs typeface="Calibri"/>
              </a:defRPr>
            </a:pPr>
            <a:r>
              <a:rPr lang="en-US" sz="900" b="0" i="0" u="none" strike="noStrike" baseline="0">
                <a:solidFill>
                  <a:srgbClr val="000000"/>
                </a:solidFill>
                <a:latin typeface="Arial"/>
                <a:cs typeface="Arial"/>
              </a:rPr>
              <a:t>and the Dow Jones US Heavy Construction  Index</a:t>
            </a:r>
          </a:p>
        </c:rich>
      </c:tx>
      <c:overlay val="0"/>
    </c:title>
    <c:autoTitleDeleted val="0"/>
    <c:plotArea>
      <c:layout>
        <c:manualLayout>
          <c:xMode val="edge"/>
          <c:yMode val="edge"/>
          <c:x val="7.907075148920617E-2"/>
          <c:y val="0.15945657935201793"/>
          <c:w val="0.85357268242739603"/>
          <c:h val="0.42387191979650335"/>
        </c:manualLayout>
      </c:layout>
      <c:lineChart>
        <c:grouping val="standard"/>
        <c:varyColors val="0"/>
        <c:ser>
          <c:idx val="0"/>
          <c:order val="0"/>
          <c:tx>
            <c:strRef>
              <c:f>CumTotReturn!$A$6:$B$6</c:f>
              <c:strCache>
                <c:ptCount val="1"/>
                <c:pt idx="0">
                  <c:v>Sterling Construction Company, Inc</c:v>
                </c:pt>
              </c:strCache>
            </c:strRef>
          </c:tx>
          <c:spPr>
            <a:ln w="12700">
              <a:solidFill>
                <a:srgbClr val="000000"/>
              </a:solidFill>
              <a:prstDash val="solid"/>
            </a:ln>
          </c:spPr>
          <c:marker>
            <c:symbol val="square"/>
            <c:size val="6"/>
            <c:spPr>
              <a:noFill/>
              <a:ln>
                <a:solidFill>
                  <a:srgbClr val="000000"/>
                </a:solidFill>
                <a:prstDash val="solid"/>
              </a:ln>
            </c:spPr>
          </c:marker>
          <c:cat>
            <c:numRef>
              <c:f>CumTotReturn!$C$4:$H$4</c:f>
              <c:numCache>
                <c:formatCode>m/yy</c:formatCode>
                <c:ptCount val="6"/>
                <c:pt idx="0">
                  <c:v>40543</c:v>
                </c:pt>
                <c:pt idx="1">
                  <c:v>40908</c:v>
                </c:pt>
                <c:pt idx="2">
                  <c:v>41274</c:v>
                </c:pt>
                <c:pt idx="3">
                  <c:v>41639</c:v>
                </c:pt>
                <c:pt idx="4">
                  <c:v>42004</c:v>
                </c:pt>
                <c:pt idx="5">
                  <c:v>42369</c:v>
                </c:pt>
              </c:numCache>
            </c:numRef>
          </c:cat>
          <c:val>
            <c:numRef>
              <c:f>CumTotReturn!$C$6:$H$6</c:f>
              <c:numCache>
                <c:formatCode>#0.00</c:formatCode>
                <c:ptCount val="6"/>
                <c:pt idx="0">
                  <c:v>100</c:v>
                </c:pt>
                <c:pt idx="1">
                  <c:v>82.592024539877301</c:v>
                </c:pt>
                <c:pt idx="2">
                  <c:v>76.226993865030678</c:v>
                </c:pt>
                <c:pt idx="3">
                  <c:v>89.953987730061357</c:v>
                </c:pt>
                <c:pt idx="4">
                  <c:v>49.003067484662573</c:v>
                </c:pt>
                <c:pt idx="5">
                  <c:v>46.625766871165645</c:v>
                </c:pt>
              </c:numCache>
            </c:numRef>
          </c:val>
          <c:smooth val="1"/>
        </c:ser>
        <c:ser>
          <c:idx val="1"/>
          <c:order val="1"/>
          <c:tx>
            <c:strRef>
              <c:f>CumTotReturn!$A$7:$B$7</c:f>
              <c:strCache>
                <c:ptCount val="1"/>
                <c:pt idx="0">
                  <c:v>Dow Jones US Total Return </c:v>
                </c:pt>
              </c:strCache>
            </c:strRef>
          </c:tx>
          <c:spPr>
            <a:ln w="12700">
              <a:solidFill>
                <a:srgbClr val="000000"/>
              </a:solidFill>
              <a:prstDash val="lgDash"/>
            </a:ln>
          </c:spPr>
          <c:marker>
            <c:symbol val="triangle"/>
            <c:size val="6"/>
            <c:spPr>
              <a:noFill/>
              <a:ln>
                <a:solidFill>
                  <a:srgbClr val="000000"/>
                </a:solidFill>
                <a:prstDash val="solid"/>
              </a:ln>
            </c:spPr>
          </c:marker>
          <c:cat>
            <c:numRef>
              <c:f>CumTotReturn!$C$4:$H$4</c:f>
              <c:numCache>
                <c:formatCode>m/yy</c:formatCode>
                <c:ptCount val="6"/>
                <c:pt idx="0">
                  <c:v>40543</c:v>
                </c:pt>
                <c:pt idx="1">
                  <c:v>40908</c:v>
                </c:pt>
                <c:pt idx="2">
                  <c:v>41274</c:v>
                </c:pt>
                <c:pt idx="3">
                  <c:v>41639</c:v>
                </c:pt>
                <c:pt idx="4">
                  <c:v>42004</c:v>
                </c:pt>
                <c:pt idx="5">
                  <c:v>42369</c:v>
                </c:pt>
              </c:numCache>
            </c:numRef>
          </c:cat>
          <c:val>
            <c:numRef>
              <c:f>CumTotReturn!$C$7:$H$7</c:f>
              <c:numCache>
                <c:formatCode>#0.00</c:formatCode>
                <c:ptCount val="6"/>
                <c:pt idx="0">
                  <c:v>100</c:v>
                </c:pt>
                <c:pt idx="1">
                  <c:v>101.34477496025937</c:v>
                </c:pt>
                <c:pt idx="2">
                  <c:v>117.88887533582694</c:v>
                </c:pt>
                <c:pt idx="3">
                  <c:v>156.75827990862754</c:v>
                </c:pt>
                <c:pt idx="4">
                  <c:v>177.05630212994922</c:v>
                </c:pt>
                <c:pt idx="5">
                  <c:v>178.17533761429266</c:v>
                </c:pt>
              </c:numCache>
            </c:numRef>
          </c:val>
          <c:smooth val="1"/>
        </c:ser>
        <c:ser>
          <c:idx val="2"/>
          <c:order val="2"/>
          <c:tx>
            <c:strRef>
              <c:f>CumTotReturn!$A$8:$B$8</c:f>
              <c:strCache>
                <c:ptCount val="1"/>
                <c:pt idx="0">
                  <c:v>Dow Jones US Heavy Construction </c:v>
                </c:pt>
              </c:strCache>
            </c:strRef>
          </c:tx>
          <c:spPr>
            <a:ln w="12700">
              <a:solidFill>
                <a:srgbClr val="000000"/>
              </a:solidFill>
              <a:prstDash val="sysDash"/>
            </a:ln>
          </c:spPr>
          <c:marker>
            <c:symbol val="circle"/>
            <c:size val="6"/>
            <c:spPr>
              <a:noFill/>
              <a:ln>
                <a:solidFill>
                  <a:srgbClr val="000000"/>
                </a:solidFill>
                <a:prstDash val="solid"/>
              </a:ln>
            </c:spPr>
          </c:marker>
          <c:cat>
            <c:numRef>
              <c:f>CumTotReturn!$C$4:$H$4</c:f>
              <c:numCache>
                <c:formatCode>m/yy</c:formatCode>
                <c:ptCount val="6"/>
                <c:pt idx="0">
                  <c:v>40543</c:v>
                </c:pt>
                <c:pt idx="1">
                  <c:v>40908</c:v>
                </c:pt>
                <c:pt idx="2">
                  <c:v>41274</c:v>
                </c:pt>
                <c:pt idx="3">
                  <c:v>41639</c:v>
                </c:pt>
                <c:pt idx="4">
                  <c:v>42004</c:v>
                </c:pt>
                <c:pt idx="5">
                  <c:v>42369</c:v>
                </c:pt>
              </c:numCache>
            </c:numRef>
          </c:cat>
          <c:val>
            <c:numRef>
              <c:f>CumTotReturn!$C$8:$H$8</c:f>
              <c:numCache>
                <c:formatCode>#0.00</c:formatCode>
                <c:ptCount val="6"/>
                <c:pt idx="0">
                  <c:v>100</c:v>
                </c:pt>
                <c:pt idx="1">
                  <c:v>82.445680066186341</c:v>
                </c:pt>
                <c:pt idx="2">
                  <c:v>100.11012729391516</c:v>
                </c:pt>
                <c:pt idx="3">
                  <c:v>131.42313224182041</c:v>
                </c:pt>
                <c:pt idx="4">
                  <c:v>97.879605377667943</c:v>
                </c:pt>
                <c:pt idx="5">
                  <c:v>86.600373255735903</c:v>
                </c:pt>
              </c:numCache>
            </c:numRef>
          </c:val>
          <c:smooth val="1"/>
        </c:ser>
        <c:dLbls>
          <c:showLegendKey val="0"/>
          <c:showVal val="0"/>
          <c:showCatName val="0"/>
          <c:showSerName val="0"/>
          <c:showPercent val="0"/>
          <c:showBubbleSize val="0"/>
        </c:dLbls>
        <c:marker val="1"/>
        <c:smooth val="0"/>
        <c:axId val="472570496"/>
        <c:axId val="484418304"/>
      </c:lineChart>
      <c:catAx>
        <c:axId val="472570496"/>
        <c:scaling>
          <c:orientation val="minMax"/>
        </c:scaling>
        <c:delete val="0"/>
        <c:axPos val="b"/>
        <c:numFmt formatCode="m/yy" sourceLinked="1"/>
        <c:majorTickMark val="in"/>
        <c:minorTickMark val="none"/>
        <c:tickLblPos val="nextTo"/>
        <c:spPr>
          <a:effectLst/>
        </c:spPr>
        <c:txPr>
          <a:bodyPr rot="0" vert="horz"/>
          <a:lstStyle/>
          <a:p>
            <a:pPr>
              <a:defRPr sz="800" b="1" i="0" u="none" strike="noStrike" baseline="0">
                <a:solidFill>
                  <a:srgbClr val="000000"/>
                </a:solidFill>
                <a:latin typeface="Arial"/>
                <a:ea typeface="Arial"/>
                <a:cs typeface="Arial"/>
              </a:defRPr>
            </a:pPr>
            <a:endParaRPr lang="en-US"/>
          </a:p>
        </c:txPr>
        <c:crossAx val="484418304"/>
        <c:crosses val="autoZero"/>
        <c:auto val="0"/>
        <c:lblAlgn val="ctr"/>
        <c:lblOffset val="100"/>
        <c:noMultiLvlLbl val="0"/>
      </c:catAx>
      <c:valAx>
        <c:axId val="484418304"/>
        <c:scaling>
          <c:orientation val="minMax"/>
        </c:scaling>
        <c:delete val="0"/>
        <c:axPos val="l"/>
        <c:numFmt formatCode="\$#,##0" sourceLinked="0"/>
        <c:majorTickMark val="out"/>
        <c:minorTickMark val="none"/>
        <c:tickLblPos val="nextTo"/>
        <c:spPr>
          <a:effectLst/>
        </c:spPr>
        <c:txPr>
          <a:bodyPr rot="0" vert="horz"/>
          <a:lstStyle/>
          <a:p>
            <a:pPr>
              <a:defRPr sz="800" b="1" i="0" u="none" strike="noStrike" baseline="0">
                <a:solidFill>
                  <a:srgbClr val="000000"/>
                </a:solidFill>
                <a:latin typeface="Arial"/>
                <a:ea typeface="Arial"/>
                <a:cs typeface="Arial"/>
              </a:defRPr>
            </a:pPr>
            <a:endParaRPr lang="en-US"/>
          </a:p>
        </c:txPr>
        <c:crossAx val="472570496"/>
        <c:crosses val="autoZero"/>
        <c:crossBetween val="midCat"/>
      </c:valAx>
      <c:spPr>
        <a:solidFill>
          <a:srgbClr val="FFFFFF"/>
        </a:solidFill>
        <a:ln w="25400">
          <a:noFill/>
        </a:ln>
      </c:spPr>
    </c:plotArea>
    <c:legend>
      <c:legendPos val="r"/>
      <c:layout>
        <c:manualLayout>
          <c:xMode val="edge"/>
          <c:yMode val="edge"/>
          <c:x val="3.1674208144796386E-2"/>
          <c:y val="0.64441416893732972"/>
          <c:w val="0.9423076923076924"/>
          <c:h val="0.10081743869209814"/>
        </c:manualLayout>
      </c:layout>
      <c:overlay val="0"/>
      <c:spPr>
        <a:ln w="25400">
          <a:noFill/>
        </a:ln>
      </c:spPr>
      <c:txPr>
        <a:bodyPr/>
        <a:lstStyle/>
        <a:p>
          <a:pPr>
            <a:defRPr sz="825" b="1" i="0" u="none" strike="noStrike" baseline="0">
              <a:solidFill>
                <a:srgbClr val="000000"/>
              </a:solidFill>
              <a:latin typeface="Arial"/>
              <a:ea typeface="Arial"/>
              <a:cs typeface="Arial"/>
            </a:defRPr>
          </a:pPr>
          <a:endParaRPr lang="en-US"/>
        </a:p>
      </c:txPr>
    </c:legend>
    <c:plotVisOnly val="1"/>
    <c:dispBlanksAs val="span"/>
    <c:showDLblsOverMax val="0"/>
  </c:chart>
  <c:spPr>
    <a:ln w="6350">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0.11761</cdr:x>
      <cdr:y>0.78733</cdr:y>
    </cdr:from>
    <cdr:to>
      <cdr:x>0.83474</cdr:x>
      <cdr:y>0.93046</cdr:y>
    </cdr:to>
    <cdr:sp macro="" textlink="">
      <cdr:nvSpPr>
        <cdr:cNvPr id="2" name="TextBox 1"/>
        <cdr:cNvSpPr txBox="1"/>
      </cdr:nvSpPr>
      <cdr:spPr>
        <a:xfrm xmlns:a="http://schemas.openxmlformats.org/drawingml/2006/main">
          <a:off x="939800" y="4876800"/>
          <a:ext cx="6350000" cy="952500"/>
        </a:xfrm>
        <a:prstGeom xmlns:a="http://schemas.openxmlformats.org/drawingml/2006/main" prst="rect">
          <a:avLst/>
        </a:prstGeom>
      </cdr:spPr>
      <cdr:txBody>
        <a:bodyPr xmlns:a="http://schemas.openxmlformats.org/drawingml/2006/main" vertOverflow="clip" vert="horz" rtlCol="0"/>
        <a:lstStyle xmlns:a="http://schemas.openxmlformats.org/drawingml/2006/main"/>
        <a:p xmlns:a="http://schemas.openxmlformats.org/drawingml/2006/main">
          <a:r>
            <a:rPr lang="en-US" sz="800">
              <a:latin typeface="Arial" panose="020B0604020202020204" pitchFamily="34" charset="0"/>
              <a:cs typeface="Arial" panose="020B0604020202020204" pitchFamily="34" charset="0"/>
            </a:rPr>
            <a:t>*$100 invested on 12/31/10 in stock or index, including reinvestment of dividends.
Fiscal year ending December 31.
Copyright© 2016 Dow Jones &amp; Co. All rights reserved.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BD47-5EDA-4797-9642-30D7066E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24257</Words>
  <Characters>123712</Characters>
  <Application>Microsoft Office Word</Application>
  <DocSecurity>0</DocSecurity>
  <Lines>2524</Lines>
  <Paragraphs>1382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2016-03-19T17:00:00Z</dcterms:created>
  <dcterms:modified xsi:type="dcterms:W3CDTF">2016-03-19T17:12:00Z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-568230764</vt:i4>
  </property>
  <property fmtid="{D5CDD505-2E9C-101B-9397-08002B2CF9AE}" pid="3" name="_NewReviewCycle">
    <vt:lpwstr/>
  </property>
</Properties>
</file>